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E5" w:rsidRPr="0099169B" w:rsidRDefault="00851EE5" w:rsidP="00F469E0">
      <w:pPr>
        <w:tabs>
          <w:tab w:val="left" w:pos="4245"/>
        </w:tabs>
        <w:rPr>
          <w:rFonts w:asciiTheme="majorHAnsi" w:hAnsiTheme="majorHAnsi"/>
          <w:b/>
          <w:sz w:val="28"/>
          <w:szCs w:val="28"/>
          <w:lang w:val="sr-Latn-CS"/>
        </w:rPr>
      </w:pPr>
      <w:r w:rsidRPr="0099169B">
        <w:rPr>
          <w:rFonts w:asciiTheme="majorHAnsi" w:hAnsiTheme="majorHAnsi"/>
          <w:b/>
          <w:sz w:val="28"/>
          <w:szCs w:val="28"/>
          <w:lang w:val="sr-Latn-CS"/>
        </w:rPr>
        <w:t>Note bilansa stanja-konsolidacija</w:t>
      </w:r>
    </w:p>
    <w:p w:rsidR="00513FB1" w:rsidRPr="00AD44A2" w:rsidRDefault="002E553F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Osnov za konsolidaciju finansijskih izještaja je učešće u kapitalu Nešković osiguranja  ad u kapitalu Autocentra Nešković doo Bijeljina.</w:t>
      </w:r>
    </w:p>
    <w:p w:rsidR="00776104" w:rsidRPr="004F1C51" w:rsidRDefault="00776104" w:rsidP="00851EE5">
      <w:pPr>
        <w:pStyle w:val="Heading1"/>
        <w:numPr>
          <w:ilvl w:val="0"/>
          <w:numId w:val="0"/>
        </w:numPr>
        <w:ind w:left="360"/>
        <w:rPr>
          <w:b w:val="0"/>
          <w:strike/>
          <w:sz w:val="24"/>
          <w:szCs w:val="24"/>
        </w:rPr>
      </w:pPr>
      <w:r w:rsidRPr="004F1C51">
        <w:rPr>
          <w:sz w:val="24"/>
          <w:szCs w:val="24"/>
          <w:u w:val="single"/>
        </w:rPr>
        <w:t>NOTA 1</w:t>
      </w:r>
      <w:proofErr w:type="gramStart"/>
      <w:r w:rsidRPr="004F1C51">
        <w:rPr>
          <w:sz w:val="24"/>
          <w:szCs w:val="24"/>
          <w:u w:val="single"/>
        </w:rPr>
        <w:t>.(</w:t>
      </w:r>
      <w:proofErr w:type="gramEnd"/>
      <w:r w:rsidRPr="004F1C51">
        <w:rPr>
          <w:sz w:val="24"/>
          <w:szCs w:val="24"/>
          <w:u w:val="single"/>
        </w:rPr>
        <w:t xml:space="preserve">AOP </w:t>
      </w:r>
      <w:r w:rsidR="001B3E32" w:rsidRPr="004F1C51">
        <w:rPr>
          <w:sz w:val="24"/>
          <w:szCs w:val="24"/>
          <w:u w:val="single"/>
        </w:rPr>
        <w:t>002+009</w:t>
      </w:r>
      <w:r w:rsidR="00332FD8" w:rsidRPr="004F1C51">
        <w:rPr>
          <w:sz w:val="24"/>
          <w:szCs w:val="24"/>
        </w:rPr>
        <w:t>)</w:t>
      </w:r>
    </w:p>
    <w:p w:rsidR="00C326C3" w:rsidRPr="00FB46C6" w:rsidRDefault="00C326C3" w:rsidP="00A00FFD">
      <w:pPr>
        <w:pStyle w:val="Heading2"/>
        <w:numPr>
          <w:ilvl w:val="0"/>
          <w:numId w:val="0"/>
        </w:numPr>
        <w:ind w:left="578" w:hanging="578"/>
      </w:pPr>
      <w:bookmarkStart w:id="0" w:name="_Toc33186064"/>
      <w:r w:rsidRPr="00FB46C6">
        <w:t xml:space="preserve">Stalna </w:t>
      </w:r>
      <w:r w:rsidR="00332FD8" w:rsidRPr="00FB46C6">
        <w:t>imovina</w:t>
      </w:r>
      <w:bookmarkEnd w:id="0"/>
    </w:p>
    <w:p w:rsidR="00776104" w:rsidRDefault="00671B3F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E51992" w:rsidRPr="00F17E37">
        <w:rPr>
          <w:rFonts w:asciiTheme="majorHAnsi" w:hAnsiTheme="majorHAnsi"/>
          <w:bCs/>
        </w:rPr>
        <w:t xml:space="preserve">    </w:t>
      </w:r>
      <w:r w:rsidR="00776104" w:rsidRPr="00A57A70">
        <w:rPr>
          <w:rFonts w:asciiTheme="majorHAnsi" w:hAnsiTheme="majorHAnsi"/>
          <w:bCs/>
        </w:rPr>
        <w:t xml:space="preserve">Stalna </w:t>
      </w:r>
      <w:r w:rsidR="009D01CF" w:rsidRPr="00A57A70">
        <w:rPr>
          <w:rFonts w:asciiTheme="majorHAnsi" w:hAnsiTheme="majorHAnsi"/>
          <w:bCs/>
        </w:rPr>
        <w:t>imovina</w:t>
      </w:r>
      <w:r w:rsidR="00776104" w:rsidRPr="00A57A70">
        <w:rPr>
          <w:rFonts w:asciiTheme="majorHAnsi" w:hAnsiTheme="majorHAnsi"/>
          <w:bCs/>
        </w:rPr>
        <w:t xml:space="preserve"> Društva se sastoje iz nematerijalnih ulaganja</w:t>
      </w:r>
      <w:proofErr w:type="gramStart"/>
      <w:r w:rsidR="00776104" w:rsidRPr="00A57A70">
        <w:rPr>
          <w:rFonts w:asciiTheme="majorHAnsi" w:hAnsiTheme="majorHAnsi"/>
          <w:bCs/>
        </w:rPr>
        <w:t>,nekretnina,opreme,investicionih</w:t>
      </w:r>
      <w:proofErr w:type="gramEnd"/>
      <w:r w:rsidR="00776104" w:rsidRPr="00A57A70">
        <w:rPr>
          <w:rFonts w:asciiTheme="majorHAnsi" w:hAnsiTheme="majorHAnsi"/>
          <w:bCs/>
        </w:rPr>
        <w:t xml:space="preserve"> nekretnina ,nekretnine u pripremi,učešća u kapitalu zavisnih pravnih lica,dugoročnih finansijskih plasmana i ostalih finansijskih plasmana</w:t>
      </w:r>
      <w:r w:rsidR="00776104" w:rsidRPr="00F17E37">
        <w:rPr>
          <w:rFonts w:asciiTheme="majorHAnsi" w:hAnsiTheme="majorHAnsi"/>
          <w:bCs/>
        </w:rPr>
        <w:t>.</w:t>
      </w:r>
    </w:p>
    <w:p w:rsidR="00F02F96" w:rsidRPr="00F17E37" w:rsidRDefault="00F02F96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</w:p>
    <w:tbl>
      <w:tblPr>
        <w:tblW w:w="10236" w:type="dxa"/>
        <w:tblInd w:w="20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413"/>
        <w:gridCol w:w="1554"/>
        <w:gridCol w:w="1266"/>
        <w:gridCol w:w="476"/>
        <w:gridCol w:w="1736"/>
        <w:gridCol w:w="572"/>
      </w:tblGrid>
      <w:tr w:rsidR="009A50E4" w:rsidRPr="00F17E37" w:rsidTr="009A50E4">
        <w:trPr>
          <w:trHeight w:val="124"/>
        </w:trPr>
        <w:tc>
          <w:tcPr>
            <w:tcW w:w="61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F067A1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  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201</w:t>
            </w:r>
            <w:r>
              <w:rPr>
                <w:rFonts w:asciiTheme="majorHAnsi" w:hAnsiTheme="majorHAnsi"/>
                <w:b/>
                <w:bCs/>
                <w:color w:val="000000"/>
              </w:rPr>
              <w:t>9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0E4" w:rsidRPr="00F17E37" w:rsidRDefault="009A50E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</w:tcPr>
          <w:p w:rsidR="009A50E4" w:rsidRPr="00F17E37" w:rsidRDefault="009A50E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9A50E4" w:rsidRPr="00F17E37" w:rsidTr="009A50E4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1" w:name="OLE_LINK1"/>
            <w:bookmarkStart w:id="2" w:name="OLE_LINK5"/>
            <w:bookmarkStart w:id="3" w:name="OLE_LINK6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F067A1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9A50E4" w:rsidRPr="00F17E37" w:rsidRDefault="009A50E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9A50E4" w:rsidRPr="00F17E37" w:rsidTr="009A50E4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170.035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24.310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194.345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5.667.932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5.667.932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7.859.474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2.980.000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10.839.474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1.394.352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1.394.352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12.816.938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12.816.938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338.830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1.341.067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1.679.897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Ulaganja u tuđe objekte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Default="009A50E4" w:rsidP="00851EE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143.705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143.705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9A50E4" w:rsidRPr="00F17E37" w:rsidTr="009A50E4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9A50E4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0E4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9A50E4">
            <w:pPr>
              <w:spacing w:after="0" w:line="240" w:lineRule="auto"/>
              <w:ind w:right="-142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28.247.561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9A50E4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4.489.082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E4" w:rsidRPr="00F17E37" w:rsidRDefault="009A50E4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32.736.643</w:t>
            </w:r>
          </w:p>
        </w:tc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A50E4" w:rsidRPr="00F17E37" w:rsidRDefault="009A50E4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9A50E4" w:rsidRPr="00F17E37" w:rsidRDefault="009A50E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</w:tcPr>
          <w:p w:rsidR="009A50E4" w:rsidRPr="00F17E37" w:rsidRDefault="009A50E4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</w:tbl>
    <w:bookmarkEnd w:id="1"/>
    <w:bookmarkEnd w:id="2"/>
    <w:bookmarkEnd w:id="3"/>
    <w:p w:rsidR="005F45FD" w:rsidRDefault="003830FD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110CFE">
        <w:rPr>
          <w:rFonts w:asciiTheme="majorHAnsi" w:hAnsiTheme="majorHAnsi"/>
          <w:bCs/>
        </w:rPr>
        <w:t xml:space="preserve">       </w:t>
      </w:r>
    </w:p>
    <w:p w:rsidR="00110CFE" w:rsidRPr="00F17E37" w:rsidRDefault="00110CFE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946" w:type="dxa"/>
        <w:tblInd w:w="108" w:type="dxa"/>
        <w:tblLook w:val="04A0" w:firstRow="1" w:lastRow="0" w:firstColumn="1" w:lastColumn="0" w:noHBand="0" w:noVBand="1"/>
      </w:tblPr>
      <w:tblGrid>
        <w:gridCol w:w="607"/>
        <w:gridCol w:w="2463"/>
        <w:gridCol w:w="284"/>
        <w:gridCol w:w="1663"/>
        <w:gridCol w:w="1341"/>
        <w:gridCol w:w="1289"/>
        <w:gridCol w:w="312"/>
        <w:gridCol w:w="1987"/>
      </w:tblGrid>
      <w:tr w:rsidR="00DF727C" w:rsidRPr="00F17E37" w:rsidTr="00D826FA">
        <w:trPr>
          <w:trHeight w:val="302"/>
        </w:trPr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9A50E4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</w:t>
            </w:r>
            <w:r w:rsidR="009A50E4">
              <w:rPr>
                <w:rFonts w:asciiTheme="majorHAnsi" w:hAnsiTheme="majorHAnsi"/>
                <w:b/>
                <w:bCs/>
                <w:color w:val="000000"/>
              </w:rPr>
              <w:t>Ispravka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 xml:space="preserve"> vrijednosti stalnih srestava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:rsidTr="00D826FA">
        <w:trPr>
          <w:trHeight w:val="3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9A50E4" w:rsidP="000C0168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27C" w:rsidRPr="00F17E37" w:rsidRDefault="009A50E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DF727C" w:rsidRPr="00F17E37" w:rsidRDefault="00DF727C" w:rsidP="000C0168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  <w:tr w:rsidR="006D52F7" w:rsidRPr="00F17E37" w:rsidTr="00D826FA">
        <w:trPr>
          <w:trHeight w:val="3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9A50E4" w:rsidP="009A50E4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155.495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16.895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172.390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D52F7" w:rsidRPr="00F17E37" w:rsidTr="00D826FA">
        <w:trPr>
          <w:trHeight w:val="3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9A50E4" w:rsidP="009A50E4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3.506.277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7.450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3.513.727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52F7" w:rsidRPr="00F17E37" w:rsidRDefault="006D52F7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D826FA" w:rsidRPr="00F17E37" w:rsidTr="00D826FA">
        <w:trPr>
          <w:trHeight w:val="3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1.222.531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761.510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26FA" w:rsidRPr="00F17E37" w:rsidRDefault="00D826FA" w:rsidP="007928A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1.98</w:t>
            </w:r>
            <w:r w:rsidR="007928A3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.041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right w:val="nil"/>
            </w:tcBorders>
          </w:tcPr>
          <w:p w:rsidR="00D826FA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826FA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D52F7" w:rsidRPr="00F17E37" w:rsidTr="00D826FA">
        <w:trPr>
          <w:trHeight w:val="3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D826FA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Ulaganje u tuđe objekte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D826F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29.434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29.434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6D52F7" w:rsidRPr="00F17E37" w:rsidRDefault="006D52F7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6D52F7" w:rsidRPr="00F17E37" w:rsidTr="00D826FA">
        <w:trPr>
          <w:trHeight w:val="3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9A50E4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4.884.303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D826FA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815.289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2F7" w:rsidRPr="00F17E37" w:rsidRDefault="007928A3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5.699.592</w:t>
            </w:r>
          </w:p>
        </w:tc>
        <w:tc>
          <w:tcPr>
            <w:tcW w:w="312" w:type="dxa"/>
            <w:tcBorders>
              <w:left w:val="single" w:sz="4" w:space="0" w:color="auto"/>
              <w:right w:val="nil"/>
            </w:tcBorders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AE1E89" w:rsidRPr="00F17E37" w:rsidRDefault="00F3711A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</w:p>
    <w:p w:rsidR="007928A3" w:rsidRPr="00F17E37" w:rsidRDefault="00D74D83" w:rsidP="007928A3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  <w:r w:rsidR="007928A3">
        <w:rPr>
          <w:rFonts w:asciiTheme="majorHAnsi" w:hAnsiTheme="majorHAnsi"/>
          <w:bCs/>
        </w:rPr>
        <w:t>Sadašnja vrijednost stalnih sredstava po konsolidaciji je 27.037.051 KM.</w:t>
      </w:r>
    </w:p>
    <w:p w:rsidR="0035389C" w:rsidRDefault="0035389C" w:rsidP="00B22CE8">
      <w:pPr>
        <w:spacing w:after="0" w:line="240" w:lineRule="auto"/>
        <w:jc w:val="right"/>
        <w:rPr>
          <w:rFonts w:asciiTheme="majorHAnsi" w:hAnsiTheme="majorHAnsi"/>
          <w:bCs/>
        </w:rPr>
      </w:pPr>
    </w:p>
    <w:p w:rsidR="00A00FFD" w:rsidRDefault="008A6149" w:rsidP="00A00F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</w:p>
    <w:p w:rsidR="00E9602C" w:rsidRDefault="00E9602C" w:rsidP="00A00F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8A6149" w:rsidRPr="00A00FFD" w:rsidRDefault="008A6149" w:rsidP="00A00F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t xml:space="preserve">    </w:t>
      </w:r>
      <w:bookmarkStart w:id="4" w:name="_Toc33186065"/>
      <w:r w:rsidRPr="00A00FFD">
        <w:rPr>
          <w:b/>
        </w:rPr>
        <w:t>Dugoročni finansijski plasmani</w:t>
      </w:r>
      <w:bookmarkEnd w:id="4"/>
      <w:r w:rsidRPr="00A00FFD">
        <w:rPr>
          <w:b/>
        </w:rPr>
        <w:t xml:space="preserve"> </w:t>
      </w:r>
    </w:p>
    <w:p w:rsidR="00D862A0" w:rsidRPr="009A2E3F" w:rsidRDefault="009033A5" w:rsidP="009A2E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8A6149" w:rsidRPr="00FB46C6">
        <w:rPr>
          <w:rFonts w:asciiTheme="majorHAnsi" w:hAnsiTheme="majorHAnsi"/>
        </w:rPr>
        <w:t xml:space="preserve">Dugoročni finansijski plasmani društva su u iznosu </w:t>
      </w:r>
      <w:proofErr w:type="gramStart"/>
      <w:r w:rsidR="008A6149" w:rsidRPr="00FB46C6">
        <w:rPr>
          <w:rFonts w:asciiTheme="majorHAnsi" w:hAnsiTheme="majorHAnsi"/>
        </w:rPr>
        <w:t>od</w:t>
      </w:r>
      <w:proofErr w:type="gramEnd"/>
      <w:r w:rsidR="008A6149" w:rsidRPr="00FB46C6">
        <w:rPr>
          <w:rFonts w:asciiTheme="majorHAnsi" w:hAnsiTheme="majorHAnsi"/>
        </w:rPr>
        <w:t xml:space="preserve"> </w:t>
      </w:r>
      <w:r w:rsidR="00EB51E8">
        <w:rPr>
          <w:rFonts w:asciiTheme="majorHAnsi" w:hAnsiTheme="majorHAnsi"/>
        </w:rPr>
        <w:t>5.665.112 KM</w:t>
      </w:r>
      <w:r w:rsidR="00CD065D">
        <w:rPr>
          <w:rFonts w:asciiTheme="majorHAnsi" w:hAnsiTheme="majorHAnsi"/>
        </w:rPr>
        <w:t xml:space="preserve"> a sastoje se iz sledećih </w:t>
      </w:r>
      <w:r w:rsidR="009A2E3F">
        <w:rPr>
          <w:rFonts w:asciiTheme="majorHAnsi" w:hAnsiTheme="majorHAnsi"/>
        </w:rPr>
        <w:t>plasmana:</w:t>
      </w:r>
    </w:p>
    <w:p w:rsidR="00E9602C" w:rsidRDefault="00D862A0" w:rsidP="00A81EBF">
      <w:pPr>
        <w:tabs>
          <w:tab w:val="right" w:pos="9405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4F1C51">
        <w:rPr>
          <w:rFonts w:asciiTheme="majorHAnsi" w:hAnsiTheme="majorHAnsi"/>
          <w:b/>
          <w:bCs/>
          <w:u w:val="single"/>
        </w:rPr>
        <w:t>NOTA 3(AOP 019</w:t>
      </w:r>
      <w:r w:rsidRPr="004F1C51">
        <w:rPr>
          <w:rFonts w:asciiTheme="majorHAnsi" w:hAnsiTheme="majorHAnsi"/>
          <w:b/>
          <w:bCs/>
        </w:rPr>
        <w:t>)</w:t>
      </w:r>
      <w:r w:rsidR="00DA5512" w:rsidRPr="004F1C51">
        <w:rPr>
          <w:rFonts w:asciiTheme="majorHAnsi" w:hAnsiTheme="majorHAnsi"/>
          <w:b/>
          <w:bCs/>
        </w:rPr>
        <w:t xml:space="preserve">  </w:t>
      </w:r>
    </w:p>
    <w:p w:rsidR="00D862A0" w:rsidRPr="004F1C51" w:rsidRDefault="00A81EBF" w:rsidP="00A81EBF">
      <w:pPr>
        <w:tabs>
          <w:tab w:val="right" w:pos="9405"/>
        </w:tabs>
        <w:spacing w:after="0" w:line="240" w:lineRule="auto"/>
        <w:jc w:val="both"/>
        <w:rPr>
          <w:rFonts w:asciiTheme="majorHAnsi" w:hAnsiTheme="majorHAnsi"/>
          <w:b/>
          <w:bCs/>
        </w:rPr>
      </w:pPr>
      <w:r w:rsidRPr="004F1C51">
        <w:rPr>
          <w:rFonts w:asciiTheme="majorHAnsi" w:hAnsiTheme="majorHAnsi"/>
          <w:b/>
          <w:bCs/>
        </w:rPr>
        <w:lastRenderedPageBreak/>
        <w:tab/>
      </w:r>
    </w:p>
    <w:p w:rsidR="009A2E3F" w:rsidRPr="004F1C51" w:rsidRDefault="009A2E3F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4F1C51">
        <w:rPr>
          <w:rFonts w:asciiTheme="majorHAnsi" w:hAnsiTheme="majorHAnsi"/>
          <w:b/>
          <w:bCs/>
        </w:rPr>
        <w:t>Učešće u kapitalu povezanih pravnih lica</w:t>
      </w:r>
    </w:p>
    <w:p w:rsidR="000775B5" w:rsidRPr="00F17E37" w:rsidRDefault="00C72904" w:rsidP="0035389C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716FAD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Obzirom da je Društvo izvršilo ulaganje u navedeno pravno lice sa učešćem u kapitali sa 99</w:t>
      </w:r>
      <w:proofErr w:type="gramStart"/>
      <w:r w:rsidR="00776104" w:rsidRPr="00F17E37">
        <w:rPr>
          <w:rFonts w:asciiTheme="majorHAnsi" w:hAnsiTheme="majorHAnsi"/>
          <w:bCs/>
        </w:rPr>
        <w:t>,17</w:t>
      </w:r>
      <w:proofErr w:type="gramEnd"/>
      <w:r w:rsidR="00776104" w:rsidRPr="00F17E37">
        <w:rPr>
          <w:rFonts w:asciiTheme="majorHAnsi" w:hAnsiTheme="majorHAnsi"/>
          <w:bCs/>
        </w:rPr>
        <w:t>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A00FFD" w:rsidRDefault="00C90C28" w:rsidP="00A00FF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C90C28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4</w:t>
      </w:r>
      <w:r w:rsidRPr="00C90C28">
        <w:rPr>
          <w:rFonts w:asciiTheme="majorHAnsi" w:hAnsiTheme="majorHAnsi"/>
          <w:b/>
          <w:bCs/>
          <w:u w:val="single"/>
        </w:rPr>
        <w:t>(AOP 022)</w:t>
      </w:r>
      <w:r w:rsidR="00A00FFD">
        <w:rPr>
          <w:rFonts w:asciiTheme="majorHAnsi" w:hAnsiTheme="majorHAnsi"/>
          <w:b/>
          <w:bCs/>
          <w:u w:val="single"/>
        </w:rPr>
        <w:t xml:space="preserve"> </w:t>
      </w:r>
    </w:p>
    <w:p w:rsidR="00A00FFD" w:rsidRDefault="00A00FFD" w:rsidP="00A00FFD">
      <w:pPr>
        <w:spacing w:after="0" w:line="240" w:lineRule="auto"/>
        <w:rPr>
          <w:rFonts w:asciiTheme="majorHAnsi" w:hAnsiTheme="majorHAnsi"/>
          <w:b/>
          <w:bCs/>
          <w:u w:val="single"/>
        </w:rPr>
      </w:pPr>
    </w:p>
    <w:p w:rsidR="00C90C28" w:rsidRPr="00A00FFD" w:rsidRDefault="00C90C28" w:rsidP="00A00FFD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6D066C">
        <w:t xml:space="preserve">      </w:t>
      </w:r>
      <w:bookmarkStart w:id="5" w:name="_Toc33186067"/>
      <w:r w:rsidRPr="00A00FFD">
        <w:rPr>
          <w:b/>
        </w:rPr>
        <w:t>Dugoročni finansijski plasmani</w:t>
      </w:r>
      <w:r w:rsidR="00965B2E" w:rsidRPr="00A00FFD">
        <w:rPr>
          <w:b/>
        </w:rPr>
        <w:t>,</w:t>
      </w:r>
      <w:r w:rsidRPr="00A00FFD">
        <w:rPr>
          <w:b/>
        </w:rPr>
        <w:t xml:space="preserve"> matičn</w:t>
      </w:r>
      <w:r w:rsidR="00965B2E" w:rsidRPr="00A00FFD">
        <w:rPr>
          <w:b/>
        </w:rPr>
        <w:t xml:space="preserve">a </w:t>
      </w:r>
      <w:r w:rsidRPr="00A00FFD">
        <w:rPr>
          <w:b/>
        </w:rPr>
        <w:t>pravn</w:t>
      </w:r>
      <w:r w:rsidR="00965B2E" w:rsidRPr="00A00FFD">
        <w:rPr>
          <w:b/>
        </w:rPr>
        <w:t>a</w:t>
      </w:r>
      <w:r w:rsidRPr="00A00FFD">
        <w:rPr>
          <w:b/>
        </w:rPr>
        <w:t xml:space="preserve"> lic</w:t>
      </w:r>
      <w:r w:rsidR="00965B2E" w:rsidRPr="00A00FFD">
        <w:rPr>
          <w:b/>
        </w:rPr>
        <w:t>a</w:t>
      </w:r>
      <w:bookmarkEnd w:id="5"/>
    </w:p>
    <w:p w:rsidR="00C90C28" w:rsidRDefault="00087661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C90C28">
        <w:rPr>
          <w:rFonts w:asciiTheme="majorHAnsi" w:hAnsiTheme="majorHAnsi"/>
          <w:bCs/>
        </w:rPr>
        <w:t>Pravnom licu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Ne</w:t>
      </w:r>
      <w:r w:rsidR="00965B2E">
        <w:rPr>
          <w:rFonts w:asciiTheme="majorHAnsi" w:hAnsiTheme="majorHAnsi"/>
          <w:bCs/>
        </w:rPr>
        <w:t>š</w:t>
      </w:r>
      <w:r w:rsidR="00C90C28">
        <w:rPr>
          <w:rFonts w:asciiTheme="majorHAnsi" w:hAnsiTheme="majorHAnsi"/>
          <w:bCs/>
        </w:rPr>
        <w:t>ković doo Bijeljina</w:t>
      </w:r>
      <w:r w:rsidR="00965B2E">
        <w:rPr>
          <w:rFonts w:asciiTheme="majorHAnsi" w:hAnsiTheme="majorHAnsi"/>
          <w:bCs/>
        </w:rPr>
        <w:t>,</w:t>
      </w:r>
      <w:r w:rsidR="00C90C28">
        <w:rPr>
          <w:rFonts w:asciiTheme="majorHAnsi" w:hAnsiTheme="majorHAnsi"/>
          <w:bCs/>
        </w:rPr>
        <w:t xml:space="preserve"> je odobren dugoročni zajam </w:t>
      </w:r>
      <w:r w:rsidR="00965B2E">
        <w:rPr>
          <w:rFonts w:asciiTheme="majorHAnsi" w:hAnsiTheme="majorHAnsi"/>
          <w:bCs/>
        </w:rPr>
        <w:t>a koji služi za pokriće tehničkih rezervi društva.</w:t>
      </w:r>
    </w:p>
    <w:tbl>
      <w:tblPr>
        <w:tblW w:w="9524" w:type="dxa"/>
        <w:tblInd w:w="93" w:type="dxa"/>
        <w:tblLook w:val="04A0" w:firstRow="1" w:lastRow="0" w:firstColumn="1" w:lastColumn="0" w:noHBand="0" w:noVBand="1"/>
      </w:tblPr>
      <w:tblGrid>
        <w:gridCol w:w="1992"/>
        <w:gridCol w:w="1395"/>
        <w:gridCol w:w="466"/>
        <w:gridCol w:w="1246"/>
        <w:gridCol w:w="1878"/>
        <w:gridCol w:w="1666"/>
        <w:gridCol w:w="881"/>
      </w:tblGrid>
      <w:tr w:rsidR="00965B2E" w:rsidRPr="00F17E37" w:rsidTr="00965B2E">
        <w:trPr>
          <w:trHeight w:val="318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Odobren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2E" w:rsidRPr="00F17E37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965B2E" w:rsidRPr="00C32231" w:rsidTr="00965B2E">
        <w:trPr>
          <w:trHeight w:val="318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Neškovović doo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C72904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</w:t>
            </w:r>
            <w:r w:rsidR="00C72904">
              <w:rPr>
                <w:rFonts w:asciiTheme="majorHAnsi" w:hAnsiTheme="maj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965B2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30.01.2022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436/19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5B2E" w:rsidRPr="00C32231" w:rsidRDefault="00965B2E" w:rsidP="002E3ED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</w:p>
        </w:tc>
      </w:tr>
    </w:tbl>
    <w:p w:rsidR="00965B2E" w:rsidRDefault="00965B2E" w:rsidP="0035389C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</w:p>
    <w:p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:rsidR="00A00FFD" w:rsidRDefault="00105F69" w:rsidP="00A00FFD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6" w:name="_Toc33186068"/>
    </w:p>
    <w:p w:rsidR="00047C96" w:rsidRPr="00A00FFD" w:rsidRDefault="00776104" w:rsidP="00A00FFD">
      <w:pPr>
        <w:spacing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6"/>
    </w:p>
    <w:p w:rsidR="00E02D9F" w:rsidRDefault="00E02D9F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A701D1" w:rsidRPr="00F17E37">
        <w:rPr>
          <w:rFonts w:asciiTheme="majorHAnsi" w:hAnsiTheme="majorHAnsi"/>
          <w:bCs/>
        </w:rPr>
        <w:t xml:space="preserve">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:rsidR="00E9602C" w:rsidRPr="00F17E37" w:rsidRDefault="00E9602C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44"/>
        <w:gridCol w:w="1364"/>
        <w:gridCol w:w="455"/>
        <w:gridCol w:w="1217"/>
        <w:gridCol w:w="1834"/>
        <w:gridCol w:w="1627"/>
        <w:gridCol w:w="861"/>
      </w:tblGrid>
      <w:tr w:rsidR="00776104" w:rsidRPr="00F17E37" w:rsidTr="00087661">
        <w:trPr>
          <w:trHeight w:val="2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C4581B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L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5721025590006892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D91725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C4581B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Komercijalna banka ad B.Luka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264FA9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18/113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81B" w:rsidRPr="00C32231" w:rsidRDefault="00C4581B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2,40</w:t>
            </w:r>
          </w:p>
        </w:tc>
      </w:tr>
      <w:tr w:rsidR="00841D47" w:rsidRPr="00F17E37" w:rsidTr="00087661">
        <w:trPr>
          <w:trHeight w:val="29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Brčko gas Brčko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11.12.2018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11.12.2021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6953/18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D47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087661" w:rsidRPr="00F17E37" w:rsidTr="00087661">
        <w:trPr>
          <w:trHeight w:val="29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Default="00087661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Default="00087661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3.314.664,00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661" w:rsidRPr="00F17E37" w:rsidRDefault="00087661" w:rsidP="0035389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72301" w:rsidRPr="00F17E37" w:rsidRDefault="00372301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:rsidR="0035389C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:rsidR="00A00FFD" w:rsidRDefault="00294E89" w:rsidP="00A00FFD">
      <w:pPr>
        <w:spacing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  <w:r w:rsidRPr="00F17E37">
        <w:rPr>
          <w:rFonts w:asciiTheme="majorHAnsi" w:hAnsiTheme="majorHAnsi"/>
          <w:b/>
          <w:bCs/>
          <w:color w:val="000000"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color w:val="000000"/>
          <w:u w:val="single"/>
        </w:rPr>
        <w:t>6</w:t>
      </w:r>
      <w:r w:rsidRPr="00F17E37">
        <w:rPr>
          <w:rFonts w:asciiTheme="majorHAnsi" w:hAnsiTheme="majorHAnsi"/>
          <w:b/>
          <w:bCs/>
          <w:color w:val="000000"/>
          <w:u w:val="single"/>
        </w:rPr>
        <w:t>(AOP 24)</w:t>
      </w:r>
      <w:bookmarkStart w:id="7" w:name="_Toc33186069"/>
    </w:p>
    <w:p w:rsidR="00294E89" w:rsidRPr="00A00FFD" w:rsidRDefault="00294E89" w:rsidP="00A00FFD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A00FFD">
        <w:rPr>
          <w:b/>
        </w:rPr>
        <w:t>Dugoročni plasmani u inostranstvu</w:t>
      </w:r>
      <w:bookmarkEnd w:id="7"/>
    </w:p>
    <w:p w:rsidR="004E280C" w:rsidRPr="00F17E37" w:rsidRDefault="00776104" w:rsidP="0035389C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3417F5" w:rsidRPr="00F17E37">
        <w:rPr>
          <w:rFonts w:asciiTheme="majorHAnsi" w:hAnsiTheme="majorHAnsi"/>
          <w:bCs/>
        </w:rPr>
        <w:t xml:space="preserve">     </w:t>
      </w:r>
      <w:r w:rsidRPr="00F17E37">
        <w:rPr>
          <w:rFonts w:asciiTheme="majorHAnsi" w:hAnsiTheme="majorHAnsi"/>
          <w:bCs/>
        </w:rPr>
        <w:t xml:space="preserve">Dugoročni finansijski plasmani u inostranstvu u iznosu od 9.779 KM </w:t>
      </w:r>
      <w:r w:rsidR="009C220B">
        <w:rPr>
          <w:rFonts w:asciiTheme="majorHAnsi" w:hAnsiTheme="majorHAnsi"/>
          <w:bCs/>
        </w:rPr>
        <w:t xml:space="preserve"> su prvobitno </w:t>
      </w:r>
      <w:r w:rsidRPr="00F17E37">
        <w:rPr>
          <w:rFonts w:asciiTheme="majorHAnsi" w:hAnsiTheme="majorHAnsi"/>
          <w:bCs/>
        </w:rPr>
        <w:t>pre</w:t>
      </w:r>
      <w:r w:rsidR="00E446C2">
        <w:rPr>
          <w:rFonts w:asciiTheme="majorHAnsi" w:hAnsiTheme="majorHAnsi"/>
          <w:bCs/>
        </w:rPr>
        <w:t>d</w:t>
      </w:r>
      <w:r w:rsidRPr="00F17E37">
        <w:rPr>
          <w:rFonts w:asciiTheme="majorHAnsi" w:hAnsiTheme="majorHAnsi"/>
          <w:bCs/>
        </w:rPr>
        <w:t>stavlja</w:t>
      </w:r>
      <w:r w:rsidR="009C220B">
        <w:rPr>
          <w:rFonts w:asciiTheme="majorHAnsi" w:hAnsiTheme="majorHAnsi"/>
          <w:bCs/>
        </w:rPr>
        <w:t xml:space="preserve">li </w:t>
      </w:r>
      <w:r w:rsidRPr="00F17E37">
        <w:rPr>
          <w:rFonts w:asciiTheme="majorHAnsi" w:hAnsiTheme="majorHAnsi"/>
          <w:bCs/>
        </w:rPr>
        <w:t xml:space="preserve"> ulaganja u Coris</w:t>
      </w:r>
      <w:r w:rsidR="009C220B">
        <w:rPr>
          <w:rFonts w:asciiTheme="majorHAnsi" w:hAnsiTheme="majorHAnsi"/>
          <w:bCs/>
        </w:rPr>
        <w:t xml:space="preserve"> Ljubljana i  Coris Paris,kao depozit</w:t>
      </w:r>
      <w:r w:rsidR="00362832">
        <w:rPr>
          <w:rFonts w:asciiTheme="majorHAnsi" w:hAnsiTheme="majorHAnsi"/>
          <w:bCs/>
        </w:rPr>
        <w:t>i</w:t>
      </w:r>
      <w:r w:rsidR="009C220B">
        <w:rPr>
          <w:rFonts w:asciiTheme="majorHAnsi" w:hAnsiTheme="majorHAnsi"/>
          <w:bCs/>
        </w:rPr>
        <w:t xml:space="preserve"> za posredovanje u obavljanju putničkog zdravstvenog osiguranje.Obzirom da je zaključen novi ugovor sa novim komitentima u 2019.g.</w:t>
      </w:r>
      <w:r w:rsidR="00362832">
        <w:rPr>
          <w:rFonts w:asciiTheme="majorHAnsi" w:hAnsiTheme="majorHAnsi"/>
          <w:bCs/>
        </w:rPr>
        <w:t>,</w:t>
      </w:r>
      <w:r w:rsidR="009C220B">
        <w:rPr>
          <w:rFonts w:asciiTheme="majorHAnsi" w:hAnsiTheme="majorHAnsi"/>
          <w:bCs/>
        </w:rPr>
        <w:t xml:space="preserve">navedeni depoziti su vraćeni </w:t>
      </w:r>
      <w:r w:rsidR="00362832">
        <w:rPr>
          <w:rFonts w:asciiTheme="majorHAnsi" w:hAnsiTheme="majorHAnsi"/>
          <w:bCs/>
        </w:rPr>
        <w:t>tako da je stanje nula na dan 31.12.2019.g.</w:t>
      </w:r>
    </w:p>
    <w:p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(AOP027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A00FFD">
      <w:pPr>
        <w:pStyle w:val="Heading2"/>
        <w:numPr>
          <w:ilvl w:val="0"/>
          <w:numId w:val="0"/>
        </w:numPr>
      </w:pPr>
      <w:bookmarkStart w:id="8" w:name="_Toc33186070"/>
      <w:r w:rsidRPr="00CD065D">
        <w:t>Ostali dugoročni finansijski plasmani</w:t>
      </w:r>
      <w:bookmarkEnd w:id="8"/>
    </w:p>
    <w:p w:rsidR="00A966BB" w:rsidRDefault="0035389C" w:rsidP="00FB64B2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362832">
        <w:rPr>
          <w:rFonts w:asciiTheme="majorHAnsi" w:hAnsiTheme="majorHAnsi"/>
          <w:bCs/>
        </w:rPr>
        <w:t>350.448,47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345233">
        <w:rPr>
          <w:rFonts w:asciiTheme="majorHAnsi" w:hAnsiTheme="majorHAnsi"/>
          <w:bCs/>
        </w:rPr>
        <w:t>su</w:t>
      </w:r>
      <w:r w:rsidR="001601E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imal</w:t>
      </w:r>
      <w:r w:rsidR="00B91A0E"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promjenu u 201</w:t>
      </w:r>
      <w:r w:rsidR="00362832">
        <w:rPr>
          <w:rFonts w:asciiTheme="majorHAnsi" w:hAnsiTheme="majorHAnsi"/>
          <w:bCs/>
        </w:rPr>
        <w:t>9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u iznosu od </w:t>
      </w:r>
      <w:r w:rsidR="00362832">
        <w:rPr>
          <w:rFonts w:asciiTheme="majorHAnsi" w:hAnsiTheme="majorHAnsi"/>
          <w:bCs/>
        </w:rPr>
        <w:t>49.551,52</w:t>
      </w:r>
      <w:r w:rsidR="00345233">
        <w:rPr>
          <w:rFonts w:asciiTheme="majorHAnsi" w:hAnsiTheme="majorHAnsi"/>
          <w:bCs/>
        </w:rPr>
        <w:t xml:space="preserve"> KM po osnovu </w:t>
      </w:r>
      <w:r w:rsidR="00EC7EB2">
        <w:rPr>
          <w:rFonts w:asciiTheme="majorHAnsi" w:hAnsiTheme="majorHAnsi"/>
          <w:bCs/>
        </w:rPr>
        <w:t>odluke Biroa ZK o d</w:t>
      </w:r>
      <w:r w:rsidR="00A966BB">
        <w:rPr>
          <w:rFonts w:asciiTheme="majorHAnsi" w:hAnsiTheme="majorHAnsi"/>
          <w:bCs/>
        </w:rPr>
        <w:t>opuni sredstava garantnog fonda.</w:t>
      </w:r>
    </w:p>
    <w:p w:rsidR="00A00FFD" w:rsidRDefault="00776104" w:rsidP="00A00FFD">
      <w:pPr>
        <w:spacing w:before="24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80495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029</w:t>
      </w:r>
      <w:r w:rsidRPr="00F17E37">
        <w:rPr>
          <w:rFonts w:asciiTheme="majorHAnsi" w:hAnsiTheme="majorHAnsi"/>
          <w:bCs/>
        </w:rPr>
        <w:t>)</w:t>
      </w:r>
      <w:bookmarkStart w:id="9" w:name="_Toc33186071"/>
    </w:p>
    <w:p w:rsidR="00955E0D" w:rsidRPr="00A00FFD" w:rsidRDefault="00776104" w:rsidP="00A00FFD">
      <w:pPr>
        <w:spacing w:before="240" w:line="240" w:lineRule="auto"/>
        <w:jc w:val="both"/>
        <w:rPr>
          <w:rFonts w:asciiTheme="majorHAnsi" w:hAnsiTheme="majorHAnsi"/>
          <w:bCs/>
        </w:rPr>
      </w:pPr>
      <w:r w:rsidRPr="001A15EE">
        <w:lastRenderedPageBreak/>
        <w:t>Odložena poreska sredstva</w:t>
      </w:r>
      <w:r w:rsidR="00E232B4" w:rsidRPr="001A15EE">
        <w:t xml:space="preserve"> za 201</w:t>
      </w:r>
      <w:r w:rsidR="00A966BB" w:rsidRPr="001A15EE">
        <w:t>9</w:t>
      </w:r>
      <w:r w:rsidR="00E232B4" w:rsidRPr="001A15EE">
        <w:t xml:space="preserve">.g.nisu </w:t>
      </w:r>
      <w:proofErr w:type="gramStart"/>
      <w:r w:rsidR="00E232B4" w:rsidRPr="001A15EE">
        <w:t>utvrđivana .</w:t>
      </w:r>
      <w:bookmarkEnd w:id="9"/>
      <w:proofErr w:type="gramEnd"/>
    </w:p>
    <w:p w:rsidR="00A00FFD" w:rsidRDefault="00C80495" w:rsidP="00A00FF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101E1">
        <w:rPr>
          <w:rFonts w:ascii="Times New Roman" w:hAnsi="Times New Roman" w:cs="Times New Roman"/>
          <w:b/>
          <w:u w:val="single"/>
        </w:rPr>
        <w:t xml:space="preserve">NOTA </w:t>
      </w:r>
      <w:r w:rsidR="006101E1" w:rsidRPr="006101E1">
        <w:rPr>
          <w:rFonts w:ascii="Times New Roman" w:hAnsi="Times New Roman" w:cs="Times New Roman"/>
          <w:b/>
          <w:u w:val="single"/>
        </w:rPr>
        <w:t>9(AOP 030</w:t>
      </w:r>
      <w:r w:rsidR="006101E1" w:rsidRPr="006101E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bookmarkStart w:id="10" w:name="_Toc33186072"/>
    </w:p>
    <w:p w:rsidR="006101E1" w:rsidRPr="00A00FFD" w:rsidRDefault="006101E1" w:rsidP="00A00FF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0FFD">
        <w:rPr>
          <w:b/>
        </w:rPr>
        <w:t>Tekuća imovina</w:t>
      </w:r>
      <w:bookmarkEnd w:id="10"/>
    </w:p>
    <w:p w:rsidR="00934A79" w:rsidRPr="001A15EE" w:rsidRDefault="006D066C" w:rsidP="001A15EE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01E1" w:rsidRPr="001A15EE">
        <w:rPr>
          <w:rFonts w:asciiTheme="majorHAnsi" w:hAnsiTheme="majorHAnsi" w:cs="Times New Roman"/>
        </w:rPr>
        <w:t xml:space="preserve">Tekuća imovina društva iznosi </w:t>
      </w:r>
      <w:r w:rsidR="00716FAD">
        <w:rPr>
          <w:rFonts w:asciiTheme="majorHAnsi" w:hAnsiTheme="majorHAnsi" w:cs="Times New Roman"/>
        </w:rPr>
        <w:t>17.509.308</w:t>
      </w:r>
      <w:r w:rsidR="006101E1" w:rsidRPr="001A15EE">
        <w:rPr>
          <w:rFonts w:asciiTheme="majorHAnsi" w:hAnsiTheme="majorHAnsi" w:cs="Times New Roman"/>
        </w:rPr>
        <w:t xml:space="preserve"> KM</w:t>
      </w:r>
      <w:proofErr w:type="gramStart"/>
      <w:r w:rsidR="006101E1" w:rsidRPr="001A15EE">
        <w:rPr>
          <w:rFonts w:asciiTheme="majorHAnsi" w:hAnsiTheme="majorHAnsi" w:cs="Times New Roman"/>
        </w:rPr>
        <w:t>,ispravka</w:t>
      </w:r>
      <w:proofErr w:type="gramEnd"/>
      <w:r w:rsidR="006101E1" w:rsidRPr="001A15EE">
        <w:rPr>
          <w:rFonts w:asciiTheme="majorHAnsi" w:hAnsiTheme="majorHAnsi" w:cs="Times New Roman"/>
        </w:rPr>
        <w:t xml:space="preserve"> vrijednosti </w:t>
      </w:r>
      <w:r w:rsidR="00716FAD">
        <w:rPr>
          <w:rFonts w:asciiTheme="majorHAnsi" w:hAnsiTheme="majorHAnsi" w:cs="Times New Roman"/>
        </w:rPr>
        <w:t>151.227</w:t>
      </w:r>
      <w:r w:rsidR="006101E1" w:rsidRPr="001A15EE">
        <w:rPr>
          <w:rFonts w:asciiTheme="majorHAnsi" w:hAnsiTheme="majorHAnsi" w:cs="Times New Roman"/>
        </w:rPr>
        <w:t xml:space="preserve"> </w:t>
      </w:r>
      <w:r w:rsidR="00934A79" w:rsidRPr="001A15EE">
        <w:rPr>
          <w:rFonts w:asciiTheme="majorHAnsi" w:hAnsiTheme="majorHAnsi" w:cs="Times New Roman"/>
        </w:rPr>
        <w:t>i</w:t>
      </w:r>
      <w:r w:rsidR="006101E1" w:rsidRPr="001A15EE">
        <w:rPr>
          <w:rFonts w:asciiTheme="majorHAnsi" w:hAnsiTheme="majorHAnsi" w:cs="Times New Roman"/>
        </w:rPr>
        <w:t xml:space="preserve"> sadašnja vrijednost </w:t>
      </w:r>
      <w:r w:rsidR="00716FAD">
        <w:rPr>
          <w:rFonts w:asciiTheme="majorHAnsi" w:hAnsiTheme="majorHAnsi" w:cs="Times New Roman"/>
        </w:rPr>
        <w:t>17.358.081KM</w:t>
      </w:r>
      <w:r w:rsidR="006101E1" w:rsidRPr="001A15EE">
        <w:rPr>
          <w:rFonts w:asciiTheme="majorHAnsi" w:hAnsiTheme="majorHAnsi" w:cs="Times New Roman"/>
        </w:rPr>
        <w:t xml:space="preserve"> a</w:t>
      </w:r>
      <w:r w:rsidR="00651BB5" w:rsidRPr="001A15EE">
        <w:rPr>
          <w:rFonts w:asciiTheme="majorHAnsi" w:hAnsiTheme="majorHAnsi" w:cs="Times New Roman"/>
        </w:rPr>
        <w:t xml:space="preserve"> </w:t>
      </w:r>
      <w:r w:rsidR="006101E1" w:rsidRPr="001A15EE">
        <w:rPr>
          <w:rFonts w:asciiTheme="majorHAnsi" w:hAnsiTheme="majorHAnsi" w:cs="Times New Roman"/>
        </w:rPr>
        <w:t>sastoji se iz sledećih</w:t>
      </w:r>
      <w:r w:rsidR="006101E1" w:rsidRPr="001A15EE">
        <w:rPr>
          <w:rFonts w:asciiTheme="majorHAnsi" w:hAnsiTheme="majorHAnsi" w:cs="Times New Roman"/>
          <w:sz w:val="24"/>
          <w:szCs w:val="24"/>
        </w:rPr>
        <w:t xml:space="preserve"> stavki imovine:</w:t>
      </w:r>
    </w:p>
    <w:p w:rsidR="00F90225" w:rsidRPr="00F90225" w:rsidRDefault="00F90225" w:rsidP="00F902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10</w:t>
      </w:r>
      <w:r w:rsidRPr="00F17E37">
        <w:rPr>
          <w:rFonts w:asciiTheme="majorHAnsi" w:hAnsiTheme="majorHAnsi"/>
          <w:b/>
          <w:bCs/>
          <w:u w:val="single"/>
        </w:rPr>
        <w:t>(AOP 031)</w:t>
      </w:r>
      <w:bookmarkStart w:id="11" w:name="_Toc33186073"/>
    </w:p>
    <w:p w:rsidR="00776104" w:rsidRP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A00FFD">
        <w:rPr>
          <w:b/>
        </w:rPr>
        <w:t>Zalihe</w:t>
      </w:r>
      <w:bookmarkEnd w:id="11"/>
    </w:p>
    <w:p w:rsidR="00B046A5" w:rsidRPr="00F17E37" w:rsidRDefault="004E280C" w:rsidP="00E12213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361" w:type="dxa"/>
        <w:tblInd w:w="93" w:type="dxa"/>
        <w:tblLook w:val="04A0" w:firstRow="1" w:lastRow="0" w:firstColumn="1" w:lastColumn="0" w:noHBand="0" w:noVBand="1"/>
      </w:tblPr>
      <w:tblGrid>
        <w:gridCol w:w="1956"/>
        <w:gridCol w:w="288"/>
        <w:gridCol w:w="969"/>
        <w:gridCol w:w="1942"/>
        <w:gridCol w:w="1982"/>
        <w:gridCol w:w="2224"/>
      </w:tblGrid>
      <w:tr w:rsidR="00776104" w:rsidRPr="00F17E37" w:rsidTr="00E53014">
        <w:trPr>
          <w:trHeight w:val="21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16FAD" w:rsidP="005567C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Autocentar Nešković doo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E53014">
        <w:trPr>
          <w:trHeight w:val="21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9F6D7E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</w:t>
            </w:r>
            <w:r w:rsidR="009F6D7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6FAD" w:rsidP="009F6D7E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</w:t>
            </w:r>
            <w:r w:rsidR="009F6D7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328</w:t>
            </w:r>
          </w:p>
        </w:tc>
      </w:tr>
      <w:tr w:rsidR="00776104" w:rsidRPr="00F17E37" w:rsidTr="00E53014">
        <w:trPr>
          <w:trHeight w:val="20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9F6D7E" w:rsidP="005567C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716FAD" w:rsidRPr="00F17E37" w:rsidTr="00E53014">
        <w:trPr>
          <w:trHeight w:val="20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FAD" w:rsidRPr="00F17E37" w:rsidRDefault="00716FAD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Zaliha robe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FAD" w:rsidRPr="00F17E37" w:rsidRDefault="00716FAD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AD" w:rsidRPr="00F17E37" w:rsidRDefault="00716FAD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6FAD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16FAD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3.681.298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FAD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3.681.298</w:t>
            </w:r>
          </w:p>
        </w:tc>
      </w:tr>
      <w:tr w:rsidR="00776104" w:rsidRPr="00F17E37" w:rsidTr="00E53014">
        <w:trPr>
          <w:trHeight w:val="20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5567C7" w:rsidP="009F6D7E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9.</w:t>
            </w:r>
            <w:r w:rsidR="00716FAD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  <w:r w:rsidR="009F6D7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F17E37" w:rsidRDefault="00716FAD" w:rsidP="0035389C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3.690.718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16FAD" w:rsidP="009F6D7E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3.690.71</w:t>
            </w:r>
            <w:r w:rsidR="009F6D7E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B046A5" w:rsidRDefault="009F6D7E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 </w:t>
      </w:r>
    </w:p>
    <w:p w:rsidR="009F6D7E" w:rsidRDefault="009F6D7E" w:rsidP="007659A3">
      <w:pPr>
        <w:spacing w:after="0" w:line="240" w:lineRule="auto"/>
        <w:jc w:val="both"/>
        <w:rPr>
          <w:rFonts w:asciiTheme="majorHAnsi" w:hAnsiTheme="majorHAnsi"/>
          <w:bCs/>
        </w:rPr>
      </w:pPr>
      <w:r w:rsidRPr="009F6D7E">
        <w:rPr>
          <w:rFonts w:asciiTheme="majorHAnsi" w:hAnsiTheme="majorHAnsi"/>
          <w:bCs/>
        </w:rPr>
        <w:t xml:space="preserve">Zaliha je </w:t>
      </w:r>
      <w:r w:rsidR="00B36571">
        <w:rPr>
          <w:rFonts w:asciiTheme="majorHAnsi" w:hAnsiTheme="majorHAnsi"/>
          <w:bCs/>
        </w:rPr>
        <w:t>povećana</w:t>
      </w:r>
      <w:r w:rsidRPr="009F6D7E">
        <w:rPr>
          <w:rFonts w:asciiTheme="majorHAnsi" w:hAnsiTheme="majorHAnsi"/>
          <w:bCs/>
        </w:rPr>
        <w:t xml:space="preserve"> po osnovu </w:t>
      </w:r>
      <w:r>
        <w:rPr>
          <w:rFonts w:asciiTheme="majorHAnsi" w:hAnsiTheme="majorHAnsi"/>
          <w:bCs/>
        </w:rPr>
        <w:t>amortizacije kupljenog auta i razlike u cijeni za iznos 461KM</w:t>
      </w:r>
      <w:proofErr w:type="gramStart"/>
      <w:r>
        <w:rPr>
          <w:rFonts w:asciiTheme="majorHAnsi" w:hAnsiTheme="majorHAnsi"/>
          <w:bCs/>
        </w:rPr>
        <w:t>,tako</w:t>
      </w:r>
      <w:proofErr w:type="gramEnd"/>
      <w:r>
        <w:rPr>
          <w:rFonts w:asciiTheme="majorHAnsi" w:hAnsiTheme="majorHAnsi"/>
          <w:bCs/>
        </w:rPr>
        <w:t xml:space="preserve"> da je </w:t>
      </w:r>
    </w:p>
    <w:p w:rsidR="009F6D7E" w:rsidRDefault="007659A3" w:rsidP="007659A3">
      <w:pPr>
        <w:spacing w:after="0" w:line="240" w:lineRule="auto"/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z</w:t>
      </w:r>
      <w:r w:rsidR="009F6D7E">
        <w:rPr>
          <w:rFonts w:asciiTheme="majorHAnsi" w:hAnsiTheme="majorHAnsi"/>
          <w:bCs/>
        </w:rPr>
        <w:t>aliha</w:t>
      </w:r>
      <w:proofErr w:type="gramEnd"/>
      <w:r w:rsidR="009F6D7E">
        <w:rPr>
          <w:rFonts w:asciiTheme="majorHAnsi" w:hAnsiTheme="majorHAnsi"/>
          <w:bCs/>
        </w:rPr>
        <w:t xml:space="preserve"> za konsolidaciju u iznoisu </w:t>
      </w:r>
      <w:r>
        <w:rPr>
          <w:rFonts w:asciiTheme="majorHAnsi" w:hAnsiTheme="majorHAnsi"/>
          <w:bCs/>
        </w:rPr>
        <w:t>3.691.172KM.</w:t>
      </w:r>
    </w:p>
    <w:p w:rsidR="007659A3" w:rsidRPr="009F6D7E" w:rsidRDefault="007659A3" w:rsidP="007659A3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A00FFD" w:rsidRDefault="00776104" w:rsidP="00A00FFD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11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40BD0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Cs/>
        </w:rPr>
        <w:t>)</w:t>
      </w:r>
      <w:bookmarkStart w:id="12" w:name="_Toc33186074"/>
    </w:p>
    <w:p w:rsidR="00776104" w:rsidRP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A00FFD">
        <w:rPr>
          <w:b/>
        </w:rPr>
        <w:t>Potraživanja po osnovu premije neživotnih osiguranja</w:t>
      </w:r>
      <w:bookmarkEnd w:id="12"/>
    </w:p>
    <w:p w:rsidR="00DF727C" w:rsidRPr="00F17E37" w:rsidRDefault="00776104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Potraživanja po osnovu premije neživotnih osiguranja predstavljaju potraživanja po osnovu nezgode</w:t>
      </w:r>
      <w:proofErr w:type="gramStart"/>
      <w:r w:rsidRPr="00F17E37">
        <w:rPr>
          <w:rFonts w:asciiTheme="majorHAnsi" w:hAnsiTheme="majorHAnsi"/>
          <w:bCs/>
        </w:rPr>
        <w:t>,putničkog</w:t>
      </w:r>
      <w:proofErr w:type="gramEnd"/>
      <w:r w:rsidRPr="00F17E37">
        <w:rPr>
          <w:rFonts w:asciiTheme="majorHAnsi" w:hAnsiTheme="majorHAnsi"/>
          <w:bCs/>
        </w:rPr>
        <w:t xml:space="preserve"> zdravsvenog osiguranja,kaska i imovine</w:t>
      </w:r>
      <w:r w:rsidR="00A47E70" w:rsidRPr="00F17E37">
        <w:rPr>
          <w:rFonts w:asciiTheme="majorHAnsi" w:hAnsiTheme="majorHAnsi"/>
          <w:bCs/>
        </w:rPr>
        <w:t>.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2910"/>
        <w:gridCol w:w="286"/>
        <w:gridCol w:w="291"/>
        <w:gridCol w:w="288"/>
        <w:gridCol w:w="1877"/>
        <w:gridCol w:w="493"/>
        <w:gridCol w:w="1203"/>
        <w:gridCol w:w="2305"/>
      </w:tblGrid>
      <w:tr w:rsidR="00776104" w:rsidRPr="00F17E37" w:rsidTr="0011283E">
        <w:trPr>
          <w:trHeight w:val="164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31.12.2019.</w:t>
            </w:r>
          </w:p>
        </w:tc>
      </w:tr>
      <w:tr w:rsidR="00776104" w:rsidRPr="00F17E37" w:rsidTr="0011283E">
        <w:trPr>
          <w:trHeight w:val="173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T1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1.699,74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0C4EE7" w:rsidP="000C4EE7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101,84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1597,90</w:t>
            </w:r>
          </w:p>
        </w:tc>
      </w:tr>
      <w:tr w:rsidR="00776104" w:rsidRPr="00F17E37" w:rsidTr="0011283E">
        <w:trPr>
          <w:trHeight w:val="173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pzo           T2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194,60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C4EE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186,82</w:t>
            </w:r>
          </w:p>
        </w:tc>
      </w:tr>
      <w:tr w:rsidR="003B3152" w:rsidRPr="00F17E37" w:rsidTr="0011283E">
        <w:trPr>
          <w:trHeight w:val="69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3152" w:rsidRPr="00F17E37" w:rsidRDefault="003B3152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kaska       T3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152" w:rsidRPr="0011283E" w:rsidRDefault="000C4EE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126.336,67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3152" w:rsidRPr="0011283E" w:rsidRDefault="000C4EE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8.393,24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152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117.943,43</w:t>
            </w:r>
          </w:p>
        </w:tc>
      </w:tr>
      <w:tr w:rsidR="00776104" w:rsidRPr="00F17E37" w:rsidTr="0011283E">
        <w:trPr>
          <w:trHeight w:val="173"/>
        </w:trPr>
        <w:tc>
          <w:tcPr>
            <w:tcW w:w="3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T8,9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,13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133.</w:t>
            </w:r>
            <w:r w:rsidR="000108CB"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674,36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108CB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17.807,01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115.867,35</w:t>
            </w:r>
          </w:p>
        </w:tc>
      </w:tr>
      <w:tr w:rsidR="00776104" w:rsidRPr="00F17E37" w:rsidTr="0011283E">
        <w:trPr>
          <w:trHeight w:val="164"/>
        </w:trPr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3B3152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ao              T10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3B3152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32.371,90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0108CB" w:rsidP="000108C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10.268,68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22.103,22</w:t>
            </w:r>
          </w:p>
        </w:tc>
      </w:tr>
      <w:tr w:rsidR="00776104" w:rsidRPr="00F17E37" w:rsidTr="0011283E">
        <w:trPr>
          <w:trHeight w:val="17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1168A1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294.277,27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36.578,55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68A1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257.698,72</w:t>
            </w:r>
          </w:p>
        </w:tc>
      </w:tr>
    </w:tbl>
    <w:p w:rsidR="00E51992" w:rsidRDefault="007659A3" w:rsidP="00D1385F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</w:t>
      </w:r>
    </w:p>
    <w:p w:rsidR="007659A3" w:rsidRPr="00F17E37" w:rsidRDefault="007659A3" w:rsidP="00D1385F">
      <w:pPr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Potraživanja po osnovu premije su umanjena za iznos </w:t>
      </w:r>
      <w:r w:rsidR="008F722C">
        <w:rPr>
          <w:rFonts w:asciiTheme="majorHAnsi" w:hAnsiTheme="majorHAnsi"/>
          <w:bCs/>
          <w:sz w:val="20"/>
          <w:szCs w:val="20"/>
        </w:rPr>
        <w:t>d</w:t>
      </w:r>
      <w:r>
        <w:rPr>
          <w:rFonts w:asciiTheme="majorHAnsi" w:hAnsiTheme="majorHAnsi"/>
          <w:bCs/>
          <w:sz w:val="20"/>
          <w:szCs w:val="20"/>
        </w:rPr>
        <w:t xml:space="preserve">uga Autocentra Nešković u iznosu </w:t>
      </w:r>
      <w:proofErr w:type="gramStart"/>
      <w:r>
        <w:rPr>
          <w:rFonts w:asciiTheme="majorHAnsi" w:hAnsiTheme="majorHAnsi"/>
          <w:bCs/>
          <w:sz w:val="20"/>
          <w:szCs w:val="20"/>
        </w:rPr>
        <w:t>od</w:t>
      </w:r>
      <w:proofErr w:type="gramEnd"/>
      <w:r>
        <w:rPr>
          <w:rFonts w:asciiTheme="majorHAnsi" w:hAnsiTheme="majorHAnsi"/>
          <w:bCs/>
          <w:sz w:val="20"/>
          <w:szCs w:val="20"/>
        </w:rPr>
        <w:t xml:space="preserve"> 666KM</w:t>
      </w:r>
      <w:r w:rsidR="008F722C">
        <w:rPr>
          <w:rFonts w:asciiTheme="majorHAnsi" w:hAnsiTheme="majorHAnsi"/>
          <w:bCs/>
          <w:sz w:val="20"/>
          <w:szCs w:val="20"/>
        </w:rPr>
        <w:t xml:space="preserve"> I po osnovu potraživanja u iznosu 541KM</w:t>
      </w:r>
      <w:r>
        <w:rPr>
          <w:rFonts w:asciiTheme="majorHAnsi" w:hAnsiTheme="majorHAnsi"/>
          <w:bCs/>
          <w:sz w:val="20"/>
          <w:szCs w:val="20"/>
        </w:rPr>
        <w:t xml:space="preserve"> pa je iznos za konsolidaciju </w:t>
      </w:r>
      <w:r w:rsidR="008F722C">
        <w:rPr>
          <w:rFonts w:asciiTheme="majorHAnsi" w:hAnsiTheme="majorHAnsi"/>
          <w:bCs/>
          <w:sz w:val="20"/>
          <w:szCs w:val="20"/>
        </w:rPr>
        <w:t>256.491KM.</w:t>
      </w:r>
    </w:p>
    <w:p w:rsidR="005F45FD" w:rsidRDefault="00E51992" w:rsidP="00283B25">
      <w:pPr>
        <w:spacing w:after="0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A00FFD" w:rsidRDefault="00776104" w:rsidP="00A00FFD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105F69">
        <w:rPr>
          <w:rFonts w:asciiTheme="majorHAnsi" w:hAnsiTheme="majorHAnsi"/>
          <w:b/>
          <w:bCs/>
          <w:u w:val="single"/>
        </w:rPr>
        <w:t>1</w:t>
      </w:r>
      <w:r w:rsidR="006101E1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(AOP04</w:t>
      </w:r>
      <w:r w:rsidR="008E08FC">
        <w:rPr>
          <w:rFonts w:asciiTheme="majorHAnsi" w:hAnsiTheme="majorHAnsi"/>
          <w:b/>
          <w:bCs/>
          <w:u w:val="single"/>
        </w:rPr>
        <w:t>0</w:t>
      </w:r>
      <w:bookmarkStart w:id="13" w:name="_Toc33186075"/>
    </w:p>
    <w:p w:rsidR="00776104" w:rsidRP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A00FFD">
        <w:rPr>
          <w:b/>
        </w:rPr>
        <w:t xml:space="preserve">Potraživanje po osnovu premije </w:t>
      </w:r>
      <w:r w:rsidR="008E08FC" w:rsidRPr="00A00FFD">
        <w:rPr>
          <w:b/>
        </w:rPr>
        <w:t>saosiguranja</w:t>
      </w:r>
      <w:bookmarkEnd w:id="13"/>
    </w:p>
    <w:p w:rsidR="00776104" w:rsidRDefault="00CD679B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 xml:space="preserve">saosiguranja u iznosu </w:t>
      </w:r>
      <w:proofErr w:type="gramStart"/>
      <w:r w:rsidR="008E08FC">
        <w:rPr>
          <w:rFonts w:asciiTheme="majorHAnsi" w:hAnsiTheme="majorHAnsi"/>
          <w:bCs/>
        </w:rPr>
        <w:t>od</w:t>
      </w:r>
      <w:proofErr w:type="gramEnd"/>
      <w:r w:rsidR="008E08FC">
        <w:rPr>
          <w:rFonts w:asciiTheme="majorHAnsi" w:hAnsiTheme="majorHAnsi"/>
          <w:bCs/>
        </w:rPr>
        <w:t xml:space="preserve"> </w:t>
      </w:r>
      <w:r w:rsidR="0050324C">
        <w:rPr>
          <w:rFonts w:asciiTheme="majorHAnsi" w:hAnsiTheme="majorHAnsi"/>
          <w:bCs/>
        </w:rPr>
        <w:t>7.224,57</w:t>
      </w:r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BC7231">
        <w:rPr>
          <w:rFonts w:asciiTheme="majorHAnsi" w:hAnsiTheme="majorHAnsi"/>
          <w:bCs/>
        </w:rPr>
        <w:t>kao vodećeg saosiguravača</w:t>
      </w:r>
      <w:r w:rsidR="00776104" w:rsidRPr="00F17E37">
        <w:rPr>
          <w:rFonts w:asciiTheme="majorHAnsi" w:hAnsiTheme="majorHAnsi"/>
          <w:bCs/>
        </w:rPr>
        <w:t>.</w:t>
      </w:r>
    </w:p>
    <w:p w:rsidR="0050324C" w:rsidRPr="00F17E37" w:rsidRDefault="0050324C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skladu sa Pravilnikom o procjenjivanju navedena potraživanja su is</w:t>
      </w:r>
      <w:r w:rsidR="00870FF1">
        <w:rPr>
          <w:rFonts w:asciiTheme="majorHAnsi" w:hAnsiTheme="majorHAnsi"/>
          <w:bCs/>
        </w:rPr>
        <w:t>pravljena u iznosu od 729</w:t>
      </w:r>
      <w:proofErr w:type="gramStart"/>
      <w:r w:rsidR="00870FF1">
        <w:rPr>
          <w:rFonts w:asciiTheme="majorHAnsi" w:hAnsiTheme="majorHAnsi"/>
          <w:bCs/>
        </w:rPr>
        <w:t>,10</w:t>
      </w:r>
      <w:proofErr w:type="gramEnd"/>
      <w:r w:rsidR="00870FF1">
        <w:rPr>
          <w:rFonts w:asciiTheme="majorHAnsi" w:hAnsiTheme="majorHAnsi"/>
          <w:bCs/>
        </w:rPr>
        <w:t xml:space="preserve"> KM pa je stanje 31.12.2019.g.6.495,47 KM.</w:t>
      </w:r>
    </w:p>
    <w:p w:rsidR="00870FF1" w:rsidRDefault="00870FF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BC7231" w:rsidRPr="00F17E37" w:rsidRDefault="00BC7231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>NOTA 1</w:t>
      </w:r>
      <w:r w:rsidR="006101E1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(AOP4</w:t>
      </w:r>
      <w:r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:rsidR="00BC7231" w:rsidRPr="00CD065D" w:rsidRDefault="00BC7231" w:rsidP="00A00FFD">
      <w:pPr>
        <w:pStyle w:val="Heading2"/>
        <w:numPr>
          <w:ilvl w:val="0"/>
          <w:numId w:val="0"/>
        </w:numPr>
      </w:pPr>
      <w:r w:rsidRPr="00CD065D">
        <w:t xml:space="preserve"> </w:t>
      </w:r>
      <w:bookmarkStart w:id="14" w:name="_Toc33186076"/>
      <w:r w:rsidRPr="00CD065D">
        <w:t>Potraživanja po osnovu učešća u naknadi štete u zemlji</w:t>
      </w:r>
      <w:bookmarkEnd w:id="14"/>
    </w:p>
    <w:p w:rsidR="0050324C" w:rsidRDefault="00FB196B" w:rsidP="00E21F1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Potraživanje</w:t>
      </w:r>
      <w:r w:rsidR="00BC7231" w:rsidRPr="00BC7231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po osnovu </w:t>
      </w:r>
      <w:proofErr w:type="gramStart"/>
      <w:r w:rsidR="00BC7231">
        <w:rPr>
          <w:rFonts w:asciiTheme="majorHAnsi" w:hAnsiTheme="majorHAnsi"/>
          <w:bCs/>
        </w:rPr>
        <w:t>učešća  u</w:t>
      </w:r>
      <w:proofErr w:type="gramEnd"/>
      <w:r w:rsidR="00BC7231">
        <w:rPr>
          <w:rFonts w:asciiTheme="majorHAnsi" w:hAnsiTheme="majorHAnsi"/>
          <w:bCs/>
        </w:rPr>
        <w:t xml:space="preserve"> naknadi štete u zemlji od reosiguravača Bosna RE dd Sarajevo</w:t>
      </w:r>
      <w:r w:rsidR="00550793">
        <w:rPr>
          <w:rFonts w:asciiTheme="majorHAnsi" w:hAnsiTheme="majorHAnsi"/>
          <w:bCs/>
        </w:rPr>
        <w:t>,</w:t>
      </w:r>
      <w:r w:rsidR="00BC7231">
        <w:rPr>
          <w:rFonts w:asciiTheme="majorHAnsi" w:hAnsiTheme="majorHAnsi"/>
          <w:bCs/>
        </w:rPr>
        <w:t xml:space="preserve"> iznos</w:t>
      </w:r>
      <w:r>
        <w:rPr>
          <w:rFonts w:asciiTheme="majorHAnsi" w:hAnsiTheme="majorHAnsi"/>
          <w:bCs/>
        </w:rPr>
        <w:t>i</w:t>
      </w:r>
      <w:r w:rsidR="00BC7231">
        <w:rPr>
          <w:rFonts w:asciiTheme="majorHAnsi" w:hAnsiTheme="majorHAnsi"/>
          <w:bCs/>
        </w:rPr>
        <w:t xml:space="preserve"> </w:t>
      </w:r>
      <w:r w:rsidR="0050324C">
        <w:rPr>
          <w:rFonts w:asciiTheme="majorHAnsi" w:hAnsiTheme="majorHAnsi"/>
          <w:bCs/>
        </w:rPr>
        <w:t>282,79</w:t>
      </w:r>
      <w:r w:rsidR="00BC7231">
        <w:rPr>
          <w:rFonts w:asciiTheme="majorHAnsi" w:hAnsiTheme="majorHAnsi"/>
          <w:bCs/>
        </w:rPr>
        <w:t>KM</w:t>
      </w:r>
      <w:r w:rsidR="0050324C">
        <w:rPr>
          <w:rFonts w:asciiTheme="majorHAnsi" w:hAnsiTheme="majorHAnsi"/>
          <w:bCs/>
        </w:rPr>
        <w:t>.</w:t>
      </w:r>
    </w:p>
    <w:p w:rsidR="00870FF1" w:rsidRDefault="0050324C" w:rsidP="005F45FD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Prema Pravilniku o procjeni</w:t>
      </w:r>
      <w:proofErr w:type="gramStart"/>
      <w:r>
        <w:rPr>
          <w:rFonts w:asciiTheme="majorHAnsi" w:hAnsiTheme="majorHAnsi"/>
          <w:bCs/>
        </w:rPr>
        <w:t>,potraživanja</w:t>
      </w:r>
      <w:proofErr w:type="gramEnd"/>
      <w:r>
        <w:rPr>
          <w:rFonts w:asciiTheme="majorHAnsi" w:hAnsiTheme="majorHAnsi"/>
          <w:bCs/>
        </w:rPr>
        <w:t xml:space="preserve"> su ispravljena u iznosu od 11,31KM,tako da je sta</w:t>
      </w:r>
      <w:r w:rsidR="00870FF1">
        <w:rPr>
          <w:rFonts w:asciiTheme="majorHAnsi" w:hAnsiTheme="majorHAnsi"/>
          <w:bCs/>
        </w:rPr>
        <w:t>nje istih na dan  31.12.2019.g.</w:t>
      </w:r>
      <w:r w:rsidR="00550793">
        <w:rPr>
          <w:rFonts w:asciiTheme="majorHAnsi" w:hAnsiTheme="majorHAnsi"/>
          <w:bCs/>
        </w:rPr>
        <w:t xml:space="preserve">  </w:t>
      </w:r>
      <w:proofErr w:type="gramStart"/>
      <w:r>
        <w:rPr>
          <w:rFonts w:asciiTheme="majorHAnsi" w:hAnsiTheme="majorHAnsi"/>
          <w:bCs/>
        </w:rPr>
        <w:t>u</w:t>
      </w:r>
      <w:proofErr w:type="gramEnd"/>
      <w:r>
        <w:rPr>
          <w:rFonts w:asciiTheme="majorHAnsi" w:hAnsiTheme="majorHAnsi"/>
          <w:bCs/>
        </w:rPr>
        <w:t xml:space="preserve"> iznosu od 271,48 KM.</w:t>
      </w:r>
    </w:p>
    <w:p w:rsidR="00283B25" w:rsidRDefault="00283B25" w:rsidP="005F45FD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283B25" w:rsidRDefault="00283B25" w:rsidP="005F45FD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283B25" w:rsidRPr="00A00FFD" w:rsidRDefault="00283B25" w:rsidP="005F45F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A00FFD">
        <w:rPr>
          <w:rFonts w:asciiTheme="majorHAnsi" w:hAnsiTheme="majorHAnsi"/>
          <w:b/>
          <w:bCs/>
        </w:rPr>
        <w:t xml:space="preserve"> </w:t>
      </w:r>
      <w:r w:rsidRPr="00A00FFD">
        <w:rPr>
          <w:rFonts w:asciiTheme="majorHAnsi" w:hAnsiTheme="majorHAnsi"/>
          <w:b/>
          <w:bCs/>
          <w:u w:val="single"/>
        </w:rPr>
        <w:t xml:space="preserve">NOTA </w:t>
      </w:r>
      <w:r w:rsidR="00A00FFD" w:rsidRPr="00A00FFD">
        <w:rPr>
          <w:rFonts w:asciiTheme="majorHAnsi" w:hAnsiTheme="majorHAnsi"/>
          <w:b/>
          <w:bCs/>
          <w:u w:val="single"/>
        </w:rPr>
        <w:t>14</w:t>
      </w:r>
      <w:r w:rsidRPr="00A00FFD">
        <w:rPr>
          <w:rFonts w:asciiTheme="majorHAnsi" w:hAnsiTheme="majorHAnsi"/>
          <w:b/>
          <w:bCs/>
          <w:u w:val="single"/>
        </w:rPr>
        <w:t>(AOP 44)</w:t>
      </w:r>
    </w:p>
    <w:p w:rsidR="00DA41AD" w:rsidRDefault="00DA41AD" w:rsidP="005F45FD">
      <w:pPr>
        <w:spacing w:after="0" w:line="240" w:lineRule="auto"/>
        <w:jc w:val="both"/>
        <w:rPr>
          <w:rFonts w:asciiTheme="majorHAnsi" w:hAnsiTheme="majorHAnsi"/>
          <w:bCs/>
          <w:u w:val="single"/>
        </w:rPr>
      </w:pPr>
    </w:p>
    <w:p w:rsidR="001D4CD4" w:rsidRDefault="00702822" w:rsidP="005F45FD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702822">
        <w:rPr>
          <w:rFonts w:asciiTheme="majorHAnsi" w:hAnsiTheme="majorHAnsi"/>
          <w:b/>
          <w:bCs/>
        </w:rPr>
        <w:t>Ostali kupci i ostala potraživanja</w:t>
      </w:r>
    </w:p>
    <w:p w:rsidR="00DA41AD" w:rsidRPr="00702822" w:rsidRDefault="00DA41AD" w:rsidP="005F45FD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5F45FD" w:rsidRDefault="00702822" w:rsidP="005F45FD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U ostalim kupcima i ostalim potraživanjima </w:t>
      </w:r>
      <w:r w:rsidR="00006478">
        <w:rPr>
          <w:rFonts w:asciiTheme="majorHAnsi" w:hAnsiTheme="majorHAnsi"/>
          <w:bCs/>
        </w:rPr>
        <w:t xml:space="preserve">u iznosu od 1.321.938KM </w:t>
      </w:r>
      <w:r>
        <w:rPr>
          <w:rFonts w:asciiTheme="majorHAnsi" w:hAnsiTheme="majorHAnsi"/>
          <w:bCs/>
        </w:rPr>
        <w:t>su evidentirani potraživanja Autocentra Nešković doo Bijeljina od kupaca</w:t>
      </w:r>
      <w:r w:rsidR="00DA41AD">
        <w:rPr>
          <w:rFonts w:asciiTheme="majorHAnsi" w:hAnsiTheme="majorHAnsi"/>
          <w:bCs/>
        </w:rPr>
        <w:t>:</w:t>
      </w:r>
      <w:r>
        <w:rPr>
          <w:rFonts w:asciiTheme="majorHAnsi" w:hAnsiTheme="majorHAnsi"/>
          <w:bCs/>
        </w:rPr>
        <w:t xml:space="preserve"> povezana pravna lica 991.541KM</w:t>
      </w:r>
      <w:proofErr w:type="gramStart"/>
      <w:r>
        <w:rPr>
          <w:rFonts w:asciiTheme="majorHAnsi" w:hAnsiTheme="majorHAnsi"/>
          <w:bCs/>
        </w:rPr>
        <w:t>,ostali</w:t>
      </w:r>
      <w:proofErr w:type="gramEnd"/>
      <w:r>
        <w:rPr>
          <w:rFonts w:asciiTheme="majorHAnsi" w:hAnsiTheme="majorHAnsi"/>
          <w:bCs/>
        </w:rPr>
        <w:t xml:space="preserve"> kupci </w:t>
      </w:r>
      <w:r w:rsidR="00645C0C">
        <w:rPr>
          <w:rFonts w:asciiTheme="majorHAnsi" w:hAnsiTheme="majorHAnsi"/>
          <w:bCs/>
        </w:rPr>
        <w:t>311.544</w:t>
      </w:r>
      <w:r>
        <w:rPr>
          <w:rFonts w:asciiTheme="majorHAnsi" w:hAnsiTheme="majorHAnsi"/>
          <w:bCs/>
        </w:rPr>
        <w:t xml:space="preserve"> KM  i ostala potraživanja 18.853 KM.</w:t>
      </w:r>
      <w:r w:rsidR="00DA41AD">
        <w:rPr>
          <w:rFonts w:asciiTheme="majorHAnsi" w:hAnsiTheme="majorHAnsi"/>
          <w:bCs/>
        </w:rPr>
        <w:t xml:space="preserve"> </w:t>
      </w:r>
    </w:p>
    <w:p w:rsidR="00DA41AD" w:rsidRPr="005F45FD" w:rsidRDefault="00DA41AD" w:rsidP="005F45FD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672AB2" w:rsidRDefault="00776104" w:rsidP="00672AB2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A00FFD">
        <w:rPr>
          <w:rFonts w:asciiTheme="majorHAnsi" w:hAnsiTheme="majorHAnsi"/>
          <w:b/>
          <w:bCs/>
          <w:u w:val="single"/>
        </w:rPr>
        <w:t>5</w:t>
      </w:r>
      <w:bookmarkStart w:id="15" w:name="_Toc33186077"/>
      <w:r w:rsidR="00672AB2">
        <w:rPr>
          <w:rFonts w:asciiTheme="majorHAnsi" w:hAnsiTheme="majorHAnsi"/>
          <w:b/>
          <w:bCs/>
          <w:u w:val="single"/>
        </w:rPr>
        <w:t>(AOP46</w:t>
      </w:r>
    </w:p>
    <w:p w:rsidR="00776104" w:rsidRPr="00672AB2" w:rsidRDefault="00776104" w:rsidP="00672AB2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672AB2">
        <w:rPr>
          <w:b/>
        </w:rPr>
        <w:t>Potraživanja iz specifičnih poslova</w:t>
      </w:r>
      <w:bookmarkEnd w:id="15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2821"/>
        <w:gridCol w:w="801"/>
        <w:gridCol w:w="362"/>
        <w:gridCol w:w="261"/>
        <w:gridCol w:w="1172"/>
        <w:gridCol w:w="248"/>
        <w:gridCol w:w="1088"/>
        <w:gridCol w:w="347"/>
        <w:gridCol w:w="1064"/>
        <w:gridCol w:w="1091"/>
      </w:tblGrid>
      <w:tr w:rsidR="00776104" w:rsidRPr="00F17E37" w:rsidTr="00D44F75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04" w:rsidRPr="00F17E37" w:rsidRDefault="00D1385F" w:rsidP="00870FF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31.12.1</w:t>
            </w:r>
            <w:r w:rsidR="00870FF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247.857,15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103.276,01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144.581,14</w:t>
            </w:r>
          </w:p>
        </w:tc>
      </w:tr>
      <w:tr w:rsidR="00776104" w:rsidRPr="00F17E37" w:rsidTr="00D44F75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898,54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473,47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425,07</w:t>
            </w: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osnovu  imovine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622,00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622,00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143B6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583E6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963E7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D44F75">
        <w:trPr>
          <w:trHeight w:val="242"/>
        </w:trPr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249.377,69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104.371,48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963E74" w:rsidRDefault="00870FF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104" w:rsidRPr="00963E74" w:rsidRDefault="00870FF1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145.006,21</w:t>
            </w:r>
          </w:p>
        </w:tc>
      </w:tr>
    </w:tbl>
    <w:p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:rsidR="00E12213" w:rsidRPr="00E12213" w:rsidRDefault="00E51992" w:rsidP="00283B2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A00FF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(AOP047)</w:t>
      </w:r>
      <w:bookmarkStart w:id="16" w:name="_Toc33186078"/>
    </w:p>
    <w:p w:rsidR="00776104" w:rsidRPr="00A00FFD" w:rsidRDefault="00776104" w:rsidP="00A00FFD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CD065D">
        <w:t>Druga potraživanja</w:t>
      </w:r>
      <w:bookmarkEnd w:id="16"/>
    </w:p>
    <w:p w:rsidR="00776104" w:rsidRPr="00F17E37" w:rsidRDefault="004F0EA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</w:t>
      </w:r>
      <w:proofErr w:type="gramStart"/>
      <w:r w:rsidR="00776104" w:rsidRPr="00F17E37">
        <w:rPr>
          <w:rFonts w:asciiTheme="majorHAnsi" w:hAnsiTheme="majorHAnsi"/>
          <w:bCs/>
        </w:rPr>
        <w:t>,zakupa,ostala</w:t>
      </w:r>
      <w:proofErr w:type="gramEnd"/>
      <w:r w:rsidR="00776104" w:rsidRPr="00F17E37">
        <w:rPr>
          <w:rFonts w:asciiTheme="majorHAnsi" w:hAnsiTheme="majorHAnsi"/>
          <w:bCs/>
        </w:rPr>
        <w:t xml:space="preserve">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:rsidTr="007E5747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638D0" w:rsidP="00D44F75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31.12.1</w:t>
            </w:r>
            <w:r w:rsidR="00D44F75">
              <w:rPr>
                <w:rFonts w:asciiTheme="majorHAnsi" w:hAnsiTheme="majorHAnsi"/>
                <w:b/>
                <w:iCs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.</w:t>
            </w:r>
          </w:p>
        </w:tc>
      </w:tr>
      <w:tr w:rsidR="00776104" w:rsidRPr="00F17E37" w:rsidTr="007E5747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8.651,05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408,08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8.242,97</w:t>
            </w:r>
          </w:p>
        </w:tc>
      </w:tr>
      <w:tr w:rsidR="00776104" w:rsidRPr="00F17E37" w:rsidTr="007E5747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41.238,11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2.886,87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38.351,24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7D1917" w:rsidP="00BC70E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      </w:t>
            </w:r>
            <w:r w:rsidR="00BC70E7"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405,00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83,40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321,60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BC70E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:rsidTr="007E5747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7E5747" w:rsidRDefault="00BC70E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50.544,16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3.628,35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6104" w:rsidRPr="007E5747" w:rsidRDefault="007E5747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7E574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46,915,81</w:t>
            </w:r>
          </w:p>
        </w:tc>
      </w:tr>
    </w:tbl>
    <w:p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:rsidR="00A00FFD" w:rsidRDefault="00E86E4E" w:rsidP="00A00FFD">
      <w:pPr>
        <w:spacing w:line="240" w:lineRule="auto"/>
        <w:ind w:right="-376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A00FFD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</w:t>
      </w:r>
      <w:r>
        <w:rPr>
          <w:rFonts w:asciiTheme="majorHAnsi" w:hAnsiTheme="majorHAnsi"/>
          <w:b/>
          <w:bCs/>
          <w:u w:val="single"/>
        </w:rPr>
        <w:t>49</w:t>
      </w:r>
      <w:r w:rsidR="009C3E1E">
        <w:rPr>
          <w:rFonts w:asciiTheme="majorHAnsi" w:hAnsiTheme="majorHAnsi"/>
          <w:b/>
          <w:bCs/>
          <w:u w:val="single"/>
        </w:rPr>
        <w:t xml:space="preserve"> i 50</w:t>
      </w:r>
      <w:r w:rsidRPr="00F17E37">
        <w:rPr>
          <w:rFonts w:asciiTheme="majorHAnsi" w:hAnsiTheme="majorHAnsi"/>
          <w:b/>
          <w:bCs/>
        </w:rPr>
        <w:t>)</w:t>
      </w:r>
      <w:bookmarkStart w:id="17" w:name="_Toc33186079"/>
    </w:p>
    <w:p w:rsidR="007A13BC" w:rsidRPr="00A00FFD" w:rsidRDefault="007A13BC" w:rsidP="00A00FFD">
      <w:pPr>
        <w:spacing w:line="240" w:lineRule="auto"/>
        <w:ind w:right="-376"/>
        <w:rPr>
          <w:rFonts w:asciiTheme="majorHAnsi" w:hAnsiTheme="majorHAnsi"/>
          <w:b/>
          <w:bCs/>
        </w:rPr>
      </w:pPr>
      <w:r w:rsidRPr="00A00FFD">
        <w:rPr>
          <w:b/>
        </w:rPr>
        <w:t>Kratkoročni finansijski plasmani u povezana pravna lica</w:t>
      </w:r>
      <w:bookmarkEnd w:id="17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973"/>
        <w:gridCol w:w="1265"/>
        <w:gridCol w:w="470"/>
        <w:gridCol w:w="1359"/>
        <w:gridCol w:w="2004"/>
        <w:gridCol w:w="1503"/>
        <w:gridCol w:w="946"/>
      </w:tblGrid>
      <w:tr w:rsidR="007A13BC" w:rsidRPr="00F17E37" w:rsidTr="0096219C">
        <w:trPr>
          <w:trHeight w:val="217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354AAB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29.03.2019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29.03.2020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1585/19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18.02.2019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18.02.2020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820/1/2019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700.000,00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3E7430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 Group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16.04.2019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16.04.2020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1899/2019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354AAB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3E7430" w:rsidRDefault="00354AAB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N Group doo Bijeljina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30.07.2020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Pr="00F17E37" w:rsidRDefault="0096219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3930/2019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AB" w:rsidRDefault="0096219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2,50</w:t>
            </w:r>
          </w:p>
        </w:tc>
      </w:tr>
      <w:tr w:rsidR="007A13BC" w:rsidRPr="00F17E37" w:rsidTr="0096219C">
        <w:trPr>
          <w:trHeight w:val="217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3BC" w:rsidRPr="00F17E37" w:rsidRDefault="007A13BC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354AAB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1.320.000,00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3BC" w:rsidRPr="00F17E37" w:rsidRDefault="007A13BC" w:rsidP="001128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:rsidR="003E7430" w:rsidRDefault="00006478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</w:p>
    <w:p w:rsidR="00006478" w:rsidRDefault="00006478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Autocentar Nešković doo </w:t>
      </w:r>
      <w:r w:rsidR="009758FB">
        <w:rPr>
          <w:rFonts w:asciiTheme="majorHAnsi" w:hAnsiTheme="majorHAnsi"/>
          <w:bCs/>
        </w:rPr>
        <w:t>B</w:t>
      </w:r>
      <w:r>
        <w:rPr>
          <w:rFonts w:asciiTheme="majorHAnsi" w:hAnsiTheme="majorHAnsi"/>
          <w:bCs/>
        </w:rPr>
        <w:t>ijeljina je odobrilo kratkoročni</w:t>
      </w:r>
      <w:r w:rsidR="00463D1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krdit povezanom pravnom licu 200.000KM tako da je ukupno kratkoročnih kredita 1</w:t>
      </w:r>
      <w:r w:rsidR="00FD2078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>520.000 KM.</w:t>
      </w:r>
    </w:p>
    <w:p w:rsidR="00CC6958" w:rsidRDefault="00CC6958" w:rsidP="00C475BB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A00FFD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A00FFD">
      <w:pPr>
        <w:pStyle w:val="Heading2"/>
        <w:numPr>
          <w:ilvl w:val="0"/>
          <w:numId w:val="0"/>
        </w:numPr>
        <w:ind w:left="578" w:hanging="578"/>
      </w:pPr>
      <w:bookmarkStart w:id="18" w:name="_Toc33186080"/>
      <w:r w:rsidRPr="00CD065D">
        <w:t>Kratkoročni finansijski plasmani –depoziti</w:t>
      </w:r>
      <w:bookmarkEnd w:id="18"/>
    </w:p>
    <w:p w:rsidR="00776104" w:rsidRDefault="00776104" w:rsidP="00C475BB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Priznavanje i vrednovanje kratkoročnih finansijsk</w:t>
      </w:r>
      <w:r w:rsidR="002F0A99">
        <w:rPr>
          <w:rFonts w:asciiTheme="majorHAnsi" w:hAnsiTheme="majorHAnsi"/>
          <w:bCs/>
        </w:rPr>
        <w:t xml:space="preserve">ih plasmana se vrši u skladu </w:t>
      </w:r>
      <w:proofErr w:type="gramStart"/>
      <w:r w:rsidR="002F0A99">
        <w:rPr>
          <w:rFonts w:asciiTheme="majorHAnsi" w:hAnsiTheme="majorHAnsi"/>
          <w:bCs/>
        </w:rPr>
        <w:t>sa</w:t>
      </w:r>
      <w:proofErr w:type="gramEnd"/>
      <w:r w:rsidR="002F0A99">
        <w:rPr>
          <w:rFonts w:asciiTheme="majorHAnsi" w:hAnsiTheme="majorHAnsi"/>
          <w:bCs/>
        </w:rPr>
        <w:t xml:space="preserve"> MSFI 9.</w:t>
      </w:r>
    </w:p>
    <w:tbl>
      <w:tblPr>
        <w:tblW w:w="9477" w:type="dxa"/>
        <w:tblInd w:w="68" w:type="dxa"/>
        <w:tblLook w:val="04A0" w:firstRow="1" w:lastRow="0" w:firstColumn="1" w:lastColumn="0" w:noHBand="0" w:noVBand="1"/>
      </w:tblPr>
      <w:tblGrid>
        <w:gridCol w:w="1926"/>
        <w:gridCol w:w="1403"/>
        <w:gridCol w:w="467"/>
        <w:gridCol w:w="1217"/>
        <w:gridCol w:w="2073"/>
        <w:gridCol w:w="1467"/>
        <w:gridCol w:w="924"/>
      </w:tblGrid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1001559458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MF banka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5721025590006504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2,65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Komer. banka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0042002002749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Unicred. bank ad BL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21.05.2017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11001094004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Sberbank ad B.L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5671515590026876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1001571083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1.017.031,60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Intesa sanpa.dd Sar.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60218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Nova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30.05.2020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1001614858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782.332,00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2,50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Nva banka ad BN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05.05.2020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1001595977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86A80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1.760.509,29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C32231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32231">
              <w:rPr>
                <w:rFonts w:asciiTheme="majorHAnsi" w:hAnsiTheme="majorHAnsi"/>
                <w:color w:val="000000"/>
                <w:sz w:val="18"/>
                <w:szCs w:val="18"/>
              </w:rPr>
              <w:t>0,50</w:t>
            </w: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86A80" w:rsidP="008A0EDA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7.626.536,89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A0EDA" w:rsidRPr="00F17E37" w:rsidTr="00E12213">
        <w:trPr>
          <w:trHeight w:val="106"/>
        </w:trPr>
        <w:tc>
          <w:tcPr>
            <w:tcW w:w="19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A0EDA" w:rsidRPr="00F17E37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F44891" w:rsidRDefault="00F44891" w:rsidP="00886A80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A00FFD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:rsidR="00776104" w:rsidRPr="00CD065D" w:rsidRDefault="00776104" w:rsidP="00A00FFD">
      <w:pPr>
        <w:pStyle w:val="Heading2"/>
        <w:numPr>
          <w:ilvl w:val="0"/>
          <w:numId w:val="0"/>
        </w:numPr>
        <w:ind w:left="578" w:hanging="578"/>
      </w:pPr>
      <w:bookmarkStart w:id="19" w:name="_Toc33186081"/>
      <w:r w:rsidRPr="00CD065D">
        <w:t>Finansijska sredstva po fer vrijednosti kroz bilans uspjeha</w:t>
      </w:r>
      <w:bookmarkEnd w:id="19"/>
    </w:p>
    <w:p w:rsidR="009767AA" w:rsidRPr="00F17E37" w:rsidRDefault="00DD0B1F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Društvo raspolaže </w:t>
      </w:r>
      <w:proofErr w:type="gramStart"/>
      <w:r w:rsidR="00776104" w:rsidRPr="00F17E37">
        <w:rPr>
          <w:rFonts w:asciiTheme="majorHAnsi" w:hAnsiTheme="majorHAnsi"/>
          <w:bCs/>
        </w:rPr>
        <w:t>s</w:t>
      </w:r>
      <w:r w:rsidR="00C32231">
        <w:rPr>
          <w:rFonts w:asciiTheme="majorHAnsi" w:hAnsiTheme="majorHAnsi"/>
          <w:bCs/>
        </w:rPr>
        <w:t>a</w:t>
      </w:r>
      <w:proofErr w:type="gramEnd"/>
      <w:r w:rsidR="00C32231">
        <w:rPr>
          <w:rFonts w:asciiTheme="majorHAnsi" w:hAnsiTheme="majorHAnsi"/>
          <w:bCs/>
        </w:rPr>
        <w:t xml:space="preserve"> akcijama sledećih komitenata:</w:t>
      </w:r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:rsidTr="0011283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1128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1128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8.512,00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559,39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86A80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551,58</w:t>
            </w:r>
          </w:p>
        </w:tc>
      </w:tr>
      <w:tr w:rsidR="00593759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5937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759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1.283,67</w:t>
            </w:r>
          </w:p>
        </w:tc>
      </w:tr>
      <w:tr w:rsidR="00776104" w:rsidRPr="00F17E3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17BEF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F00159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7708,14</w:t>
            </w:r>
          </w:p>
        </w:tc>
      </w:tr>
      <w:tr w:rsidR="00776104" w:rsidRPr="00F17E37" w:rsidTr="00F00159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8A3FE8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43.884,86</w:t>
            </w:r>
          </w:p>
        </w:tc>
      </w:tr>
    </w:tbl>
    <w:p w:rsidR="00E51992" w:rsidRPr="00F17E37" w:rsidRDefault="009161FC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C475BB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F44891" w:rsidRPr="00A00FFD" w:rsidRDefault="00C475BB" w:rsidP="00F448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 xml:space="preserve">    </w:t>
      </w:r>
      <w:r w:rsidR="00471259">
        <w:rPr>
          <w:rFonts w:asciiTheme="majorHAnsi" w:hAnsiTheme="majorHAnsi"/>
          <w:bCs/>
        </w:rPr>
        <w:t xml:space="preserve"> </w:t>
      </w:r>
      <w:r w:rsidR="00A00FFD" w:rsidRPr="00A00FFD">
        <w:rPr>
          <w:rFonts w:asciiTheme="majorHAnsi" w:hAnsiTheme="majorHAnsi"/>
          <w:b/>
          <w:bCs/>
          <w:u w:val="single"/>
        </w:rPr>
        <w:t>NOTA 20(AOP 58)</w:t>
      </w:r>
      <w:r w:rsidR="00471259" w:rsidRPr="00A00FFD">
        <w:rPr>
          <w:rFonts w:asciiTheme="majorHAnsi" w:hAnsiTheme="majorHAnsi"/>
          <w:b/>
          <w:bCs/>
          <w:u w:val="single"/>
        </w:rPr>
        <w:t xml:space="preserve">  </w:t>
      </w:r>
    </w:p>
    <w:p w:rsidR="00F44891" w:rsidRPr="00A00FFD" w:rsidRDefault="00F44891" w:rsidP="00F448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776104" w:rsidRPr="00A00FFD" w:rsidRDefault="00C475BB" w:rsidP="00F448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0FFD">
        <w:rPr>
          <w:rFonts w:ascii="Times New Roman" w:hAnsi="Times New Roman" w:cs="Times New Roman"/>
          <w:b/>
          <w:bCs/>
        </w:rPr>
        <w:t xml:space="preserve"> </w:t>
      </w:r>
      <w:bookmarkStart w:id="20" w:name="_Toc33186082"/>
      <w:r w:rsidR="00776104" w:rsidRPr="00A00FFD">
        <w:rPr>
          <w:rFonts w:ascii="Times New Roman" w:hAnsi="Times New Roman" w:cs="Times New Roman"/>
          <w:b/>
        </w:rPr>
        <w:t>Gotovina</w:t>
      </w:r>
      <w:bookmarkEnd w:id="20"/>
    </w:p>
    <w:p w:rsidR="00F44891" w:rsidRPr="00CD065D" w:rsidRDefault="00F44891" w:rsidP="00F44891">
      <w:pPr>
        <w:spacing w:after="0" w:line="240" w:lineRule="auto"/>
        <w:jc w:val="both"/>
      </w:pPr>
    </w:p>
    <w:tbl>
      <w:tblPr>
        <w:tblW w:w="9459" w:type="dxa"/>
        <w:tblInd w:w="93" w:type="dxa"/>
        <w:tblLook w:val="04A0" w:firstRow="1" w:lastRow="0" w:firstColumn="1" w:lastColumn="0" w:noHBand="0" w:noVBand="1"/>
      </w:tblPr>
      <w:tblGrid>
        <w:gridCol w:w="3329"/>
        <w:gridCol w:w="314"/>
        <w:gridCol w:w="820"/>
        <w:gridCol w:w="278"/>
        <w:gridCol w:w="1533"/>
        <w:gridCol w:w="1539"/>
        <w:gridCol w:w="1646"/>
      </w:tblGrid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1.397.726,84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5.144,63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1.402.871,47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248.134,46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213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19.143,21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267277,67</w:t>
            </w:r>
          </w:p>
        </w:tc>
      </w:tr>
      <w:tr w:rsidR="00776104" w:rsidRPr="00F17E37" w:rsidTr="00AE2011">
        <w:trPr>
          <w:trHeight w:val="269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283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634,06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634,06</w:t>
            </w:r>
          </w:p>
        </w:tc>
      </w:tr>
      <w:tr w:rsidR="00776104" w:rsidRPr="00F17E37" w:rsidTr="00AE2011">
        <w:trPr>
          <w:trHeight w:val="269"/>
        </w:trPr>
        <w:tc>
          <w:tcPr>
            <w:tcW w:w="4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Pavlović Int.bank ad Bijeljina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11283E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258,05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258,05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Addiko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306,72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306,72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294.235,09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294.235,09</w:t>
            </w:r>
          </w:p>
        </w:tc>
      </w:tr>
      <w:tr w:rsidR="00776104" w:rsidRPr="00F17E37" w:rsidTr="00AE2011">
        <w:trPr>
          <w:trHeight w:val="25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C6019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2.195,90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161.423,71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163.619,61</w:t>
            </w:r>
          </w:p>
        </w:tc>
      </w:tr>
      <w:tr w:rsidR="0075161A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C6019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5.</w:t>
            </w:r>
            <w:r w:rsidR="00E12213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067,83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161A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51.345,46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161A" w:rsidRPr="0011283E" w:rsidRDefault="00F24D42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56.413,29</w:t>
            </w:r>
          </w:p>
        </w:tc>
      </w:tr>
      <w:tr w:rsidR="00776104" w:rsidRPr="00F17E37" w:rsidTr="00AE2011">
        <w:trPr>
          <w:trHeight w:val="257"/>
        </w:trPr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Uni credit bank ad B.Luka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83B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278.728,16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339,36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279.067,52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11,79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11,79</w:t>
            </w:r>
          </w:p>
        </w:tc>
      </w:tr>
      <w:tr w:rsidR="00AE2011" w:rsidRPr="00F17E37" w:rsidTr="00AE2011">
        <w:trPr>
          <w:trHeight w:val="25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E1221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2.227.298,90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237.396,37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11283E" w:rsidRDefault="009E348B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2.464.695,27</w:t>
            </w:r>
          </w:p>
        </w:tc>
      </w:tr>
    </w:tbl>
    <w:p w:rsidR="00406058" w:rsidRPr="009B7FAB" w:rsidRDefault="003E7430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</w:t>
      </w:r>
    </w:p>
    <w:p w:rsidR="008A3FE8" w:rsidRDefault="00790A4B" w:rsidP="004212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Cs/>
        </w:rPr>
        <w:t xml:space="preserve"> </w:t>
      </w:r>
      <w:r w:rsidR="00FD2078">
        <w:rPr>
          <w:rFonts w:asciiTheme="majorHAnsi" w:hAnsiTheme="majorHAnsi"/>
          <w:bCs/>
        </w:rPr>
        <w:t>Gotovina Autocentra Nešković je 29.041KM tako da je ukupna gotovina 2.493.736 KM.</w:t>
      </w:r>
    </w:p>
    <w:p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672AB2" w:rsidRDefault="00776104" w:rsidP="00672AB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6101E1">
        <w:rPr>
          <w:rFonts w:asciiTheme="majorHAnsi" w:hAnsiTheme="majorHAnsi"/>
          <w:b/>
          <w:bCs/>
          <w:u w:val="single"/>
        </w:rPr>
        <w:t>2</w:t>
      </w:r>
      <w:r w:rsidR="00A00FFD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  <w:bookmarkStart w:id="21" w:name="_Toc33186083"/>
    </w:p>
    <w:p w:rsidR="003264D9" w:rsidRPr="00672AB2" w:rsidRDefault="00F90225" w:rsidP="00672AB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CD065D">
        <w:t>A</w:t>
      </w:r>
      <w:r w:rsidRPr="00672AB2">
        <w:rPr>
          <w:b/>
        </w:rPr>
        <w:t>VR</w:t>
      </w:r>
      <w:bookmarkEnd w:id="21"/>
    </w:p>
    <w:p w:rsidR="00E51992" w:rsidRDefault="00671B3F" w:rsidP="00B57EA2">
      <w:pPr>
        <w:spacing w:before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DD0B1F">
        <w:rPr>
          <w:rFonts w:asciiTheme="majorHAnsi" w:hAnsiTheme="majorHAnsi"/>
          <w:bCs/>
        </w:rPr>
        <w:t>Na aktiv</w:t>
      </w:r>
      <w:r w:rsidR="00776104" w:rsidRPr="00F17E37">
        <w:rPr>
          <w:rFonts w:asciiTheme="majorHAnsi" w:hAnsiTheme="majorHAnsi"/>
          <w:bCs/>
        </w:rPr>
        <w:t xml:space="preserve">nim vremenskim razgraničenjima u iznosu od </w:t>
      </w:r>
      <w:r w:rsidR="008A3FE8">
        <w:rPr>
          <w:rFonts w:asciiTheme="majorHAnsi" w:hAnsiTheme="majorHAnsi"/>
          <w:bCs/>
        </w:rPr>
        <w:t>184.043</w:t>
      </w:r>
      <w:proofErr w:type="gramStart"/>
      <w:r w:rsidR="008A3FE8">
        <w:rPr>
          <w:rFonts w:asciiTheme="majorHAnsi" w:hAnsiTheme="majorHAnsi"/>
          <w:bCs/>
        </w:rPr>
        <w:t>,81KM</w:t>
      </w:r>
      <w:proofErr w:type="gramEnd"/>
      <w:r w:rsidR="008A3FE8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. Društvo vodi</w:t>
      </w:r>
      <w:r w:rsidR="00976E68" w:rsidRPr="00F17E37">
        <w:rPr>
          <w:rFonts w:asciiTheme="majorHAnsi" w:hAnsiTheme="majorHAnsi"/>
          <w:bCs/>
        </w:rPr>
        <w:t xml:space="preserve">:           </w:t>
      </w:r>
      <w:r w:rsidRPr="00F17E37">
        <w:rPr>
          <w:rFonts w:asciiTheme="majorHAnsi" w:hAnsiTheme="majorHAnsi"/>
          <w:bCs/>
        </w:rPr>
        <w:t>1.</w:t>
      </w:r>
      <w:r w:rsidR="00776104" w:rsidRPr="00F17E37">
        <w:rPr>
          <w:rFonts w:asciiTheme="majorHAnsi" w:hAnsiTheme="majorHAnsi"/>
          <w:bCs/>
        </w:rPr>
        <w:t xml:space="preserve">Kamate na depozitima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u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iznosu od </w:t>
      </w:r>
      <w:r w:rsidR="008A3FE8">
        <w:rPr>
          <w:rFonts w:asciiTheme="majorHAnsi" w:hAnsiTheme="majorHAnsi"/>
          <w:bCs/>
        </w:rPr>
        <w:t>25.638,30KM</w:t>
      </w:r>
      <w:r w:rsidR="008733E4" w:rsidRPr="00F17E37">
        <w:rPr>
          <w:rFonts w:asciiTheme="majorHAnsi" w:hAnsiTheme="majorHAnsi"/>
          <w:bCs/>
        </w:rPr>
        <w:t xml:space="preserve"> ,</w:t>
      </w:r>
      <w:r w:rsidR="00776104" w:rsidRPr="00F17E37">
        <w:rPr>
          <w:rFonts w:asciiTheme="majorHAnsi" w:hAnsiTheme="majorHAnsi"/>
          <w:bCs/>
        </w:rPr>
        <w:t xml:space="preserve"> knjižene po načelu uzročnosti </w:t>
      </w:r>
      <w:r w:rsidR="00790A4B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nastanka prihoda,odnosno one kamate koje su </w:t>
      </w:r>
      <w:r w:rsidR="008733E4" w:rsidRPr="00F17E37">
        <w:rPr>
          <w:rFonts w:asciiTheme="majorHAnsi" w:hAnsiTheme="majorHAnsi"/>
          <w:bCs/>
        </w:rPr>
        <w:t xml:space="preserve">dospjele i </w:t>
      </w:r>
      <w:r w:rsidR="00776104" w:rsidRPr="00F17E37">
        <w:rPr>
          <w:rFonts w:asciiTheme="majorHAnsi" w:hAnsiTheme="majorHAnsi"/>
          <w:bCs/>
        </w:rPr>
        <w:t>knjižene u prihodima a nisu prenijete na račun</w:t>
      </w:r>
      <w:r w:rsidR="008733E4" w:rsidRPr="00F17E37">
        <w:rPr>
          <w:rFonts w:asciiTheme="majorHAnsi" w:hAnsiTheme="majorHAnsi"/>
          <w:bCs/>
        </w:rPr>
        <w:t xml:space="preserve"> do</w:t>
      </w:r>
      <w:r w:rsidR="00FA2D14">
        <w:rPr>
          <w:rFonts w:asciiTheme="majorHAnsi" w:hAnsiTheme="majorHAnsi"/>
          <w:bCs/>
        </w:rPr>
        <w:t xml:space="preserve"> </w:t>
      </w:r>
      <w:r w:rsidR="00976E68" w:rsidRPr="00F17E37">
        <w:rPr>
          <w:rFonts w:asciiTheme="majorHAnsi" w:hAnsiTheme="majorHAnsi"/>
          <w:bCs/>
        </w:rPr>
        <w:t>31.12.201</w:t>
      </w:r>
      <w:r w:rsidR="008A3FE8">
        <w:rPr>
          <w:rFonts w:asciiTheme="majorHAnsi" w:hAnsiTheme="majorHAnsi"/>
          <w:bCs/>
        </w:rPr>
        <w:t>9</w:t>
      </w:r>
      <w:r w:rsidR="00976E68" w:rsidRPr="00F17E37">
        <w:rPr>
          <w:rFonts w:asciiTheme="majorHAnsi" w:hAnsiTheme="majorHAnsi"/>
          <w:bCs/>
        </w:rPr>
        <w:t>.g.</w:t>
      </w:r>
      <w:r w:rsidR="00721466" w:rsidRPr="00F17E37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="00976E68" w:rsidRPr="00F17E37">
        <w:rPr>
          <w:rFonts w:asciiTheme="majorHAnsi" w:hAnsiTheme="majorHAnsi"/>
          <w:bCs/>
        </w:rPr>
        <w:t>2.</w:t>
      </w:r>
      <w:r w:rsidR="00776104" w:rsidRPr="00F17E37">
        <w:rPr>
          <w:rFonts w:asciiTheme="majorHAnsi" w:hAnsiTheme="majorHAnsi"/>
          <w:bCs/>
        </w:rPr>
        <w:t>Razgraničeni</w:t>
      </w:r>
      <w:proofErr w:type="gramEnd"/>
      <w:r w:rsidR="00776104" w:rsidRPr="00F17E37">
        <w:rPr>
          <w:rFonts w:asciiTheme="majorHAnsi" w:hAnsiTheme="majorHAnsi"/>
          <w:bCs/>
        </w:rPr>
        <w:t xml:space="preserve"> troškovi reosiguranja </w:t>
      </w:r>
      <w:r w:rsidR="008A3FE8">
        <w:rPr>
          <w:rFonts w:asciiTheme="majorHAnsi" w:hAnsiTheme="majorHAnsi"/>
          <w:bCs/>
        </w:rPr>
        <w:t xml:space="preserve">i saosiguranja </w:t>
      </w:r>
      <w:r w:rsidR="00776104" w:rsidRPr="00F17E37">
        <w:rPr>
          <w:rFonts w:asciiTheme="majorHAnsi" w:hAnsiTheme="majorHAnsi"/>
          <w:bCs/>
        </w:rPr>
        <w:t>po osnovu prenosne premije</w:t>
      </w:r>
      <w:r w:rsidR="0035221C" w:rsidRPr="00F17E37">
        <w:rPr>
          <w:rFonts w:asciiTheme="majorHAnsi" w:hAnsiTheme="majorHAnsi"/>
          <w:bCs/>
        </w:rPr>
        <w:t xml:space="preserve"> reosiguranja</w:t>
      </w:r>
      <w:r w:rsidR="00776104" w:rsidRPr="00F17E37">
        <w:rPr>
          <w:rFonts w:asciiTheme="majorHAnsi" w:hAnsiTheme="majorHAnsi"/>
          <w:bCs/>
        </w:rPr>
        <w:t xml:space="preserve"> </w:t>
      </w:r>
      <w:r w:rsidR="00895501">
        <w:rPr>
          <w:rFonts w:asciiTheme="majorHAnsi" w:hAnsiTheme="majorHAnsi"/>
          <w:bCs/>
        </w:rPr>
        <w:t xml:space="preserve">i </w:t>
      </w:r>
      <w:r w:rsidR="005F45FD">
        <w:rPr>
          <w:rFonts w:asciiTheme="majorHAnsi" w:hAnsiTheme="majorHAnsi"/>
          <w:bCs/>
        </w:rPr>
        <w:t xml:space="preserve">saosiguranja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8A3FE8">
        <w:rPr>
          <w:rFonts w:asciiTheme="majorHAnsi" w:hAnsiTheme="majorHAnsi"/>
          <w:bCs/>
        </w:rPr>
        <w:t>158.405,51KM</w:t>
      </w:r>
      <w:r w:rsidR="00776104" w:rsidRPr="00F17E37">
        <w:rPr>
          <w:rFonts w:asciiTheme="majorHAnsi" w:hAnsiTheme="majorHAnsi"/>
          <w:bCs/>
        </w:rPr>
        <w:t>.</w:t>
      </w:r>
    </w:p>
    <w:p w:rsidR="00672AB2" w:rsidRDefault="00672AB2" w:rsidP="00B57EA2">
      <w:pPr>
        <w:spacing w:before="24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Autocentar Nešković doo Bijeljina na vremenskim razgraničenjima vodi ulazni</w:t>
      </w:r>
      <w:r w:rsidR="009758FB">
        <w:rPr>
          <w:rFonts w:asciiTheme="majorHAnsi" w:hAnsiTheme="majorHAnsi"/>
          <w:bCs/>
        </w:rPr>
        <w:t xml:space="preserve"> pdv u iznosu 21.590KM</w:t>
      </w:r>
      <w:proofErr w:type="gramStart"/>
      <w:r w:rsidR="009758FB">
        <w:rPr>
          <w:rFonts w:asciiTheme="majorHAnsi" w:hAnsiTheme="majorHAnsi"/>
          <w:bCs/>
        </w:rPr>
        <w:t>,tako</w:t>
      </w:r>
      <w:proofErr w:type="gramEnd"/>
      <w:r w:rsidR="009758FB">
        <w:rPr>
          <w:rFonts w:asciiTheme="majorHAnsi" w:hAnsiTheme="majorHAnsi"/>
          <w:bCs/>
        </w:rPr>
        <w:t xml:space="preserve"> da je</w:t>
      </w:r>
      <w:r>
        <w:rPr>
          <w:rFonts w:asciiTheme="majorHAnsi" w:hAnsiTheme="majorHAnsi"/>
          <w:bCs/>
        </w:rPr>
        <w:t xml:space="preserve"> ukupna AVR 205.633 KM.</w:t>
      </w:r>
    </w:p>
    <w:p w:rsidR="00895501" w:rsidRDefault="00895501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2</w:t>
      </w:r>
      <w:r w:rsidR="00C10839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:rsidR="00895501" w:rsidRDefault="00895501" w:rsidP="00672AB2">
      <w:pPr>
        <w:pStyle w:val="Heading2"/>
        <w:numPr>
          <w:ilvl w:val="0"/>
          <w:numId w:val="0"/>
        </w:numPr>
        <w:ind w:left="578" w:hanging="578"/>
      </w:pPr>
      <w:bookmarkStart w:id="22" w:name="_Toc33186084"/>
      <w:r w:rsidRPr="00895501">
        <w:t>Poslovna aktiva</w:t>
      </w:r>
      <w:bookmarkEnd w:id="22"/>
    </w:p>
    <w:p w:rsidR="00421257" w:rsidRDefault="005F2791" w:rsidP="005F2791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</w:t>
      </w:r>
      <w:r w:rsidR="00895501" w:rsidRPr="001A54D2">
        <w:rPr>
          <w:rFonts w:asciiTheme="majorHAnsi" w:hAnsiTheme="majorHAnsi"/>
          <w:bCs/>
        </w:rPr>
        <w:t xml:space="preserve">Poslovna aktiva društava iznosi </w:t>
      </w:r>
      <w:r w:rsidR="000148DB">
        <w:rPr>
          <w:rFonts w:asciiTheme="majorHAnsi" w:hAnsiTheme="majorHAnsi"/>
          <w:bCs/>
        </w:rPr>
        <w:t>55.911.063</w:t>
      </w:r>
      <w:r w:rsidR="00895501" w:rsidRPr="001A54D2">
        <w:rPr>
          <w:rFonts w:asciiTheme="majorHAnsi" w:hAnsiTheme="majorHAnsi"/>
          <w:bCs/>
        </w:rPr>
        <w:t xml:space="preserve"> KM</w:t>
      </w:r>
      <w:proofErr w:type="gramStart"/>
      <w:r w:rsidR="00895501" w:rsidRPr="001A54D2">
        <w:rPr>
          <w:rFonts w:asciiTheme="majorHAnsi" w:hAnsiTheme="majorHAnsi"/>
          <w:bCs/>
        </w:rPr>
        <w:t>,ispravka</w:t>
      </w:r>
      <w:proofErr w:type="gramEnd"/>
      <w:r w:rsidR="00895501" w:rsidRPr="001A54D2">
        <w:rPr>
          <w:rFonts w:asciiTheme="majorHAnsi" w:hAnsiTheme="majorHAnsi"/>
          <w:bCs/>
        </w:rPr>
        <w:t xml:space="preserve"> vrijednosti 5.</w:t>
      </w:r>
      <w:r w:rsidR="00672AB2">
        <w:rPr>
          <w:rFonts w:asciiTheme="majorHAnsi" w:hAnsiTheme="majorHAnsi"/>
          <w:bCs/>
        </w:rPr>
        <w:t>850.819</w:t>
      </w:r>
      <w:r w:rsidR="00895501" w:rsidRPr="001A54D2">
        <w:rPr>
          <w:rFonts w:asciiTheme="majorHAnsi" w:hAnsiTheme="majorHAnsi"/>
          <w:bCs/>
        </w:rPr>
        <w:t xml:space="preserve"> i sadašnja vrijednost </w:t>
      </w:r>
      <w:r w:rsidR="00672AB2">
        <w:rPr>
          <w:rFonts w:asciiTheme="majorHAnsi" w:hAnsiTheme="majorHAnsi"/>
          <w:bCs/>
        </w:rPr>
        <w:t>50.</w:t>
      </w:r>
      <w:r w:rsidR="000148DB">
        <w:rPr>
          <w:rFonts w:asciiTheme="majorHAnsi" w:hAnsiTheme="majorHAnsi"/>
          <w:bCs/>
        </w:rPr>
        <w:t>0</w:t>
      </w:r>
      <w:r w:rsidR="00672AB2">
        <w:rPr>
          <w:rFonts w:asciiTheme="majorHAnsi" w:hAnsiTheme="majorHAnsi"/>
          <w:bCs/>
        </w:rPr>
        <w:t>60.</w:t>
      </w:r>
      <w:r w:rsidR="000148DB">
        <w:rPr>
          <w:rFonts w:asciiTheme="majorHAnsi" w:hAnsiTheme="majorHAnsi"/>
          <w:bCs/>
        </w:rPr>
        <w:t>244</w:t>
      </w:r>
      <w:r w:rsidR="00672AB2">
        <w:rPr>
          <w:rFonts w:asciiTheme="majorHAnsi" w:hAnsiTheme="majorHAnsi"/>
          <w:bCs/>
        </w:rPr>
        <w:t>KM.</w:t>
      </w:r>
    </w:p>
    <w:p w:rsidR="00421257" w:rsidRPr="00895501" w:rsidRDefault="00421257" w:rsidP="005F2791">
      <w:pPr>
        <w:spacing w:after="0" w:line="240" w:lineRule="auto"/>
        <w:rPr>
          <w:rFonts w:asciiTheme="majorHAnsi" w:hAnsiTheme="majorHAnsi"/>
          <w:bCs/>
        </w:rPr>
      </w:pPr>
    </w:p>
    <w:p w:rsidR="00672AB2" w:rsidRDefault="001C53FE" w:rsidP="00672AB2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NOTA 2</w:t>
      </w:r>
      <w:r w:rsidR="00C10839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(AOP </w:t>
      </w:r>
      <w:r>
        <w:rPr>
          <w:rFonts w:asciiTheme="majorHAnsi" w:hAnsiTheme="majorHAnsi"/>
          <w:b/>
          <w:bCs/>
          <w:u w:val="single"/>
        </w:rPr>
        <w:t>101</w:t>
      </w:r>
      <w:r w:rsidR="00776104" w:rsidRPr="00F17E37">
        <w:rPr>
          <w:rFonts w:asciiTheme="majorHAnsi" w:hAnsiTheme="majorHAnsi"/>
          <w:b/>
          <w:bCs/>
          <w:u w:val="single"/>
        </w:rPr>
        <w:t>)</w:t>
      </w:r>
      <w:bookmarkStart w:id="23" w:name="_Toc33186085"/>
    </w:p>
    <w:p w:rsidR="001C53FE" w:rsidRPr="00672AB2" w:rsidRDefault="001C53FE" w:rsidP="00672AB2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672AB2">
        <w:rPr>
          <w:b/>
        </w:rPr>
        <w:t>KAPITAL</w:t>
      </w:r>
      <w:bookmarkEnd w:id="23"/>
    </w:p>
    <w:p w:rsidR="00324C39" w:rsidRPr="00FC3984" w:rsidRDefault="00A827EF" w:rsidP="00FC3984">
      <w:pPr>
        <w:spacing w:after="0" w:line="240" w:lineRule="auto"/>
        <w:jc w:val="both"/>
        <w:rPr>
          <w:rFonts w:asciiTheme="majorHAnsi" w:hAnsiTheme="majorHAnsi"/>
          <w:bCs/>
        </w:rPr>
      </w:pPr>
      <w:r w:rsidRPr="00A25993">
        <w:rPr>
          <w:rFonts w:asciiTheme="majorHAnsi" w:hAnsiTheme="majorHAnsi"/>
          <w:bCs/>
        </w:rPr>
        <w:t xml:space="preserve">       </w:t>
      </w:r>
      <w:r w:rsidR="001C53FE" w:rsidRPr="00A25993">
        <w:rPr>
          <w:rFonts w:asciiTheme="majorHAnsi" w:hAnsiTheme="majorHAnsi"/>
          <w:bCs/>
        </w:rPr>
        <w:t>Kapital društva iznosi 19.726.205KM a čine ga sledeće stavke:</w:t>
      </w:r>
    </w:p>
    <w:p w:rsidR="00776104" w:rsidRPr="00324C39" w:rsidRDefault="00A51602" w:rsidP="00324C39">
      <w:pPr>
        <w:rPr>
          <w:rFonts w:asciiTheme="majorHAnsi" w:hAnsiTheme="majorHAnsi"/>
          <w:b/>
        </w:rPr>
      </w:pPr>
      <w:r w:rsidRPr="00324C39">
        <w:rPr>
          <w:rFonts w:asciiTheme="majorHAnsi" w:hAnsiTheme="majorHAnsi"/>
          <w:b/>
        </w:rPr>
        <w:t>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:rsidR="003264D9" w:rsidRPr="00921546" w:rsidRDefault="00D47B93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Kapital Autocentra Nešković </w:t>
      </w:r>
      <w:proofErr w:type="gramStart"/>
      <w:r>
        <w:rPr>
          <w:rFonts w:asciiTheme="majorHAnsi" w:hAnsiTheme="majorHAnsi"/>
          <w:bCs/>
        </w:rPr>
        <w:t>605.000KM  je</w:t>
      </w:r>
      <w:proofErr w:type="gramEnd"/>
      <w:r>
        <w:rPr>
          <w:rFonts w:asciiTheme="majorHAnsi" w:hAnsiTheme="majorHAnsi"/>
          <w:bCs/>
        </w:rPr>
        <w:t xml:space="preserve"> umanjen za internu transakciju u iznosu od 600.000KM,pa je kapital 5000 KM</w:t>
      </w:r>
      <w:r w:rsidR="00DB66DF">
        <w:rPr>
          <w:rFonts w:asciiTheme="majorHAnsi" w:hAnsiTheme="majorHAnsi"/>
          <w:bCs/>
        </w:rPr>
        <w:t xml:space="preserve">  </w:t>
      </w:r>
      <w:r>
        <w:rPr>
          <w:rFonts w:asciiTheme="majorHAnsi" w:hAnsiTheme="majorHAnsi"/>
          <w:bCs/>
        </w:rPr>
        <w:t xml:space="preserve">a za konsolidaciju </w:t>
      </w:r>
      <w:r w:rsidR="00E149B4">
        <w:rPr>
          <w:rFonts w:asciiTheme="majorHAnsi" w:hAnsiTheme="majorHAnsi"/>
          <w:bCs/>
        </w:rPr>
        <w:t xml:space="preserve">je </w:t>
      </w:r>
      <w:r>
        <w:rPr>
          <w:rFonts w:asciiTheme="majorHAnsi" w:hAnsiTheme="majorHAnsi"/>
          <w:bCs/>
        </w:rPr>
        <w:t>ukupni kapital 10.005.000KM.</w:t>
      </w:r>
      <w:r w:rsidR="00DB66DF">
        <w:rPr>
          <w:rFonts w:asciiTheme="majorHAnsi" w:hAnsiTheme="majorHAnsi"/>
          <w:bCs/>
        </w:rPr>
        <w:t xml:space="preserve">          </w:t>
      </w:r>
    </w:p>
    <w:p w:rsidR="00E7148F" w:rsidRDefault="00E7148F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D47B93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C1083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:rsidR="00776104" w:rsidRPr="00CD065D" w:rsidRDefault="00776104" w:rsidP="00E7148F">
      <w:pPr>
        <w:pStyle w:val="Heading2"/>
        <w:numPr>
          <w:ilvl w:val="0"/>
          <w:numId w:val="0"/>
        </w:numPr>
        <w:ind w:left="578" w:hanging="578"/>
      </w:pPr>
      <w:bookmarkStart w:id="24" w:name="_Toc33186086"/>
      <w:r w:rsidRPr="00CD065D">
        <w:t>Revalorizacione rezerve</w:t>
      </w:r>
      <w:bookmarkEnd w:id="24"/>
    </w:p>
    <w:p w:rsidR="00BF36FE" w:rsidRPr="00F17E37" w:rsidRDefault="00776104" w:rsidP="00776104">
      <w:pPr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1C4337">
        <w:rPr>
          <w:rFonts w:asciiTheme="majorHAnsi" w:hAnsiTheme="majorHAnsi"/>
          <w:bCs/>
        </w:rPr>
        <w:t>Revalorizacione rezerve Društva</w:t>
      </w:r>
      <w:r w:rsidR="00FA7BB8" w:rsidRPr="001C4337">
        <w:rPr>
          <w:rFonts w:asciiTheme="majorHAnsi" w:hAnsiTheme="majorHAnsi"/>
          <w:bCs/>
        </w:rPr>
        <w:t xml:space="preserve"> u iznosu </w:t>
      </w:r>
      <w:r w:rsidR="00FA7BB8" w:rsidRPr="00701F88">
        <w:rPr>
          <w:rFonts w:asciiTheme="majorHAnsi" w:hAnsiTheme="majorHAnsi"/>
          <w:bCs/>
        </w:rPr>
        <w:t xml:space="preserve">od </w:t>
      </w:r>
      <w:r w:rsidR="00701F88" w:rsidRPr="00701F88">
        <w:rPr>
          <w:rFonts w:asciiTheme="majorHAnsi" w:hAnsiTheme="majorHAnsi"/>
          <w:bCs/>
        </w:rPr>
        <w:t>1.748.393</w:t>
      </w:r>
      <w:proofErr w:type="gramStart"/>
      <w:r w:rsidR="00701F88" w:rsidRPr="00701F88">
        <w:rPr>
          <w:rFonts w:asciiTheme="majorHAnsi" w:hAnsiTheme="majorHAnsi"/>
          <w:bCs/>
        </w:rPr>
        <w:t>,94</w:t>
      </w:r>
      <w:r w:rsidR="00FA7BB8" w:rsidRPr="00701F88">
        <w:rPr>
          <w:rFonts w:asciiTheme="majorHAnsi" w:hAnsiTheme="majorHAnsi"/>
          <w:bCs/>
        </w:rPr>
        <w:t>KM</w:t>
      </w:r>
      <w:proofErr w:type="gramEnd"/>
      <w:r w:rsidRPr="001C4337">
        <w:rPr>
          <w:rFonts w:asciiTheme="majorHAnsi" w:hAnsiTheme="majorHAnsi"/>
          <w:bCs/>
        </w:rPr>
        <w:t xml:space="preserve"> su nastale po osnovu</w:t>
      </w:r>
      <w:r w:rsidR="006A7F70" w:rsidRPr="001C4337">
        <w:rPr>
          <w:rFonts w:asciiTheme="majorHAnsi" w:hAnsiTheme="majorHAnsi"/>
          <w:bCs/>
        </w:rPr>
        <w:t xml:space="preserve"> procjene</w:t>
      </w:r>
      <w:r w:rsidRPr="001C4337">
        <w:rPr>
          <w:rFonts w:asciiTheme="majorHAnsi" w:hAnsiTheme="majorHAnsi"/>
          <w:bCs/>
        </w:rPr>
        <w:t xml:space="preserve"> </w:t>
      </w:r>
      <w:r w:rsidR="002A76C2">
        <w:rPr>
          <w:rFonts w:asciiTheme="majorHAnsi" w:hAnsiTheme="majorHAnsi"/>
          <w:bCs/>
        </w:rPr>
        <w:t xml:space="preserve">vrijednosti </w:t>
      </w:r>
      <w:r w:rsidRPr="001C4337">
        <w:rPr>
          <w:rFonts w:asciiTheme="majorHAnsi" w:hAnsiTheme="majorHAnsi"/>
          <w:bCs/>
        </w:rPr>
        <w:t>građevinskih</w:t>
      </w:r>
      <w:r w:rsidR="00AD44A2" w:rsidRPr="001C4337">
        <w:rPr>
          <w:rFonts w:asciiTheme="majorHAnsi" w:hAnsiTheme="majorHAnsi"/>
          <w:bCs/>
        </w:rPr>
        <w:t xml:space="preserve"> objekata</w:t>
      </w:r>
      <w:r w:rsidR="00926EBA" w:rsidRPr="001C4337">
        <w:rPr>
          <w:rFonts w:asciiTheme="majorHAnsi" w:hAnsiTheme="majorHAnsi"/>
          <w:bCs/>
        </w:rPr>
        <w:t>.</w:t>
      </w:r>
      <w:r w:rsidR="006A7F70" w:rsidRPr="001C4337">
        <w:rPr>
          <w:rFonts w:asciiTheme="majorHAnsi" w:hAnsiTheme="majorHAnsi"/>
          <w:bCs/>
        </w:rPr>
        <w:t>Tokom godin</w:t>
      </w:r>
      <w:r w:rsidR="00FA7BB8" w:rsidRPr="001C4337">
        <w:rPr>
          <w:rFonts w:asciiTheme="majorHAnsi" w:hAnsiTheme="majorHAnsi"/>
          <w:bCs/>
        </w:rPr>
        <w:t>a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6A7F70" w:rsidRPr="001C4337">
        <w:rPr>
          <w:rFonts w:asciiTheme="majorHAnsi" w:hAnsiTheme="majorHAnsi"/>
          <w:bCs/>
        </w:rPr>
        <w:t xml:space="preserve"> u korist ne 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vrijednosti.U</w:t>
      </w:r>
      <w:r w:rsidR="006A7F70" w:rsidRPr="001C4337">
        <w:rPr>
          <w:rFonts w:asciiTheme="majorHAnsi" w:hAnsiTheme="majorHAnsi"/>
          <w:bCs/>
        </w:rPr>
        <w:t xml:space="preserve"> 201</w:t>
      </w:r>
      <w:r w:rsidR="00701F88">
        <w:rPr>
          <w:rFonts w:asciiTheme="majorHAnsi" w:hAnsiTheme="majorHAnsi"/>
          <w:bCs/>
        </w:rPr>
        <w:t>9</w:t>
      </w:r>
      <w:r w:rsidR="006A7F70" w:rsidRPr="001C4337">
        <w:rPr>
          <w:rFonts w:asciiTheme="majorHAnsi" w:hAnsiTheme="majorHAnsi"/>
          <w:bCs/>
        </w:rPr>
        <w:t>.g. u neraspore</w:t>
      </w:r>
      <w:r w:rsidR="00FA7BB8" w:rsidRPr="001C4337">
        <w:rPr>
          <w:rFonts w:asciiTheme="majorHAnsi" w:hAnsiTheme="majorHAnsi"/>
          <w:bCs/>
        </w:rPr>
        <w:t>đ</w:t>
      </w:r>
      <w:r w:rsidR="006A7F70" w:rsidRPr="001C4337">
        <w:rPr>
          <w:rFonts w:asciiTheme="majorHAnsi" w:hAnsiTheme="majorHAnsi"/>
          <w:bCs/>
        </w:rPr>
        <w:t>enu dobit</w:t>
      </w:r>
      <w:r w:rsidR="00FC3984">
        <w:rPr>
          <w:rFonts w:asciiTheme="majorHAnsi" w:hAnsiTheme="majorHAnsi"/>
          <w:bCs/>
        </w:rPr>
        <w:t xml:space="preserve"> tekuće godine</w:t>
      </w:r>
      <w:r w:rsidR="006A7F70" w:rsidRPr="001C4337">
        <w:rPr>
          <w:rFonts w:asciiTheme="majorHAnsi" w:hAnsiTheme="majorHAnsi"/>
          <w:bCs/>
        </w:rPr>
        <w:t xml:space="preserve"> je </w:t>
      </w:r>
      <w:r w:rsidR="003F247C">
        <w:rPr>
          <w:rFonts w:asciiTheme="majorHAnsi" w:hAnsiTheme="majorHAnsi"/>
          <w:bCs/>
        </w:rPr>
        <w:t xml:space="preserve">po tom osnovu </w:t>
      </w:r>
      <w:r w:rsidR="006A7F70" w:rsidRPr="001C4337">
        <w:rPr>
          <w:rFonts w:asciiTheme="majorHAnsi" w:hAnsiTheme="majorHAnsi"/>
          <w:bCs/>
        </w:rPr>
        <w:t>knjiženo 90.743,26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lastRenderedPageBreak/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C10839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CE219F">
      <w:pPr>
        <w:pStyle w:val="Heading2"/>
        <w:numPr>
          <w:ilvl w:val="0"/>
          <w:numId w:val="0"/>
        </w:numPr>
        <w:ind w:left="578" w:hanging="578"/>
      </w:pPr>
      <w:bookmarkStart w:id="25" w:name="_Toc33186087"/>
      <w:r w:rsidRPr="00CD065D">
        <w:t>Neraspoređen</w:t>
      </w:r>
      <w:r w:rsidR="0003686A">
        <w:t xml:space="preserve">a </w:t>
      </w:r>
      <w:r w:rsidRPr="00CD065D">
        <w:t>dobit</w:t>
      </w:r>
      <w:bookmarkEnd w:id="25"/>
    </w:p>
    <w:p w:rsidR="009B2B1A" w:rsidRDefault="005A087F" w:rsidP="001E7552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2F0A99">
        <w:rPr>
          <w:rFonts w:asciiTheme="majorHAnsi" w:hAnsiTheme="majorHAnsi"/>
          <w:bCs/>
        </w:rPr>
        <w:t>Neraspoređen</w:t>
      </w:r>
      <w:r w:rsidR="00DB66DF" w:rsidRPr="002F0A99">
        <w:rPr>
          <w:rFonts w:asciiTheme="majorHAnsi" w:hAnsiTheme="majorHAnsi"/>
          <w:bCs/>
        </w:rPr>
        <w:t>a</w:t>
      </w:r>
      <w:r w:rsidR="00776104" w:rsidRPr="002F0A99">
        <w:rPr>
          <w:rFonts w:asciiTheme="majorHAnsi" w:hAnsiTheme="majorHAnsi"/>
          <w:bCs/>
        </w:rPr>
        <w:t xml:space="preserve"> </w:t>
      </w:r>
      <w:proofErr w:type="gramStart"/>
      <w:r w:rsidR="00776104" w:rsidRPr="002F0A99">
        <w:rPr>
          <w:rFonts w:asciiTheme="majorHAnsi" w:hAnsiTheme="majorHAnsi"/>
          <w:bCs/>
        </w:rPr>
        <w:t xml:space="preserve">dobit </w:t>
      </w:r>
      <w:r w:rsidR="00D47B93">
        <w:rPr>
          <w:rFonts w:asciiTheme="majorHAnsi" w:hAnsiTheme="majorHAnsi"/>
          <w:bCs/>
        </w:rPr>
        <w:t xml:space="preserve"> je</w:t>
      </w:r>
      <w:proofErr w:type="gramEnd"/>
      <w:r w:rsidR="00D47B93">
        <w:rPr>
          <w:rFonts w:asciiTheme="majorHAnsi" w:hAnsiTheme="majorHAnsi"/>
          <w:bCs/>
        </w:rPr>
        <w:t xml:space="preserve"> </w:t>
      </w:r>
      <w:r w:rsidR="00776104" w:rsidRPr="002F0A99">
        <w:rPr>
          <w:rFonts w:asciiTheme="majorHAnsi" w:hAnsiTheme="majorHAnsi"/>
          <w:bCs/>
        </w:rPr>
        <w:t xml:space="preserve">u iznosu od </w:t>
      </w:r>
      <w:r w:rsidR="00D47B93">
        <w:rPr>
          <w:rFonts w:asciiTheme="majorHAnsi" w:hAnsiTheme="majorHAnsi"/>
          <w:bCs/>
        </w:rPr>
        <w:t>13.200.119</w:t>
      </w:r>
      <w:r w:rsidR="002F0A99">
        <w:rPr>
          <w:rFonts w:asciiTheme="majorHAnsi" w:hAnsiTheme="majorHAnsi"/>
          <w:bCs/>
        </w:rPr>
        <w:t xml:space="preserve"> KM</w:t>
      </w:r>
      <w:r w:rsidR="00DB66DF" w:rsidRPr="002F0A99">
        <w:rPr>
          <w:rFonts w:asciiTheme="majorHAnsi" w:hAnsiTheme="majorHAnsi"/>
          <w:bCs/>
        </w:rPr>
        <w:t xml:space="preserve"> se sastoji iz:                                       </w:t>
      </w:r>
      <w:r w:rsidR="00D47B93">
        <w:rPr>
          <w:rFonts w:asciiTheme="majorHAnsi" w:hAnsiTheme="majorHAnsi"/>
          <w:bCs/>
        </w:rPr>
        <w:t>1</w:t>
      </w:r>
      <w:r w:rsidR="00776104" w:rsidRPr="002F0A99">
        <w:rPr>
          <w:rFonts w:asciiTheme="majorHAnsi" w:hAnsiTheme="majorHAnsi"/>
          <w:bCs/>
        </w:rPr>
        <w:t xml:space="preserve">.Neraspoređena dobit ostvarena iz redovne djelatnosti u iznosu od </w:t>
      </w:r>
      <w:r w:rsidR="00D47B93">
        <w:rPr>
          <w:rFonts w:asciiTheme="majorHAnsi" w:hAnsiTheme="majorHAnsi"/>
          <w:bCs/>
        </w:rPr>
        <w:t>7.115.069</w:t>
      </w:r>
      <w:r w:rsidR="00840610" w:rsidRPr="002F0A99">
        <w:rPr>
          <w:rFonts w:asciiTheme="majorHAnsi" w:hAnsiTheme="majorHAnsi"/>
          <w:bCs/>
        </w:rPr>
        <w:t>KM.</w:t>
      </w:r>
    </w:p>
    <w:p w:rsidR="001E7552" w:rsidRPr="002F0A99" w:rsidRDefault="00D47B93" w:rsidP="001E7552">
      <w:pPr>
        <w:spacing w:after="0" w:line="240" w:lineRule="auto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2</w:t>
      </w:r>
      <w:r w:rsidR="001E7552">
        <w:rPr>
          <w:rFonts w:asciiTheme="majorHAnsi" w:hAnsiTheme="majorHAnsi"/>
          <w:bCs/>
        </w:rPr>
        <w:t>.Neraspoređena</w:t>
      </w:r>
      <w:proofErr w:type="gramEnd"/>
      <w:r w:rsidR="001E7552">
        <w:rPr>
          <w:rFonts w:asciiTheme="majorHAnsi" w:hAnsiTheme="majorHAnsi"/>
          <w:bCs/>
        </w:rPr>
        <w:t xml:space="preserve"> dobit iz ranijih godina u iznosu od </w:t>
      </w:r>
      <w:r>
        <w:rPr>
          <w:rFonts w:asciiTheme="majorHAnsi" w:hAnsiTheme="majorHAnsi"/>
          <w:bCs/>
        </w:rPr>
        <w:t>6.085.050KM.</w:t>
      </w:r>
      <w:r w:rsidR="001E7552">
        <w:rPr>
          <w:rFonts w:asciiTheme="majorHAnsi" w:hAnsiTheme="majorHAnsi"/>
          <w:bCs/>
        </w:rPr>
        <w:t>.</w:t>
      </w:r>
    </w:p>
    <w:p w:rsidR="001E7552" w:rsidRDefault="001E7552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CE219F" w:rsidRDefault="00776104" w:rsidP="00CE219F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C10839">
        <w:rPr>
          <w:rFonts w:asciiTheme="majorHAnsi" w:hAnsiTheme="majorHAnsi"/>
          <w:b/>
          <w:bCs/>
          <w:u w:val="single"/>
        </w:rPr>
        <w:t>6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  <w:bookmarkStart w:id="26" w:name="_Toc33186088"/>
    </w:p>
    <w:p w:rsidR="00776104" w:rsidRPr="00CE219F" w:rsidRDefault="00776104" w:rsidP="00CE219F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CE219F">
        <w:rPr>
          <w:b/>
        </w:rPr>
        <w:t>Primanja zaposlenih</w:t>
      </w:r>
      <w:bookmarkEnd w:id="26"/>
    </w:p>
    <w:p w:rsidR="00913944" w:rsidRDefault="00141E15" w:rsidP="005A087F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9F6F95">
        <w:rPr>
          <w:rFonts w:asciiTheme="majorHAnsi" w:hAnsiTheme="majorHAnsi"/>
          <w:bCs/>
        </w:rPr>
        <w:t>76.003,65KM.</w:t>
      </w:r>
      <w:r w:rsidR="00776104" w:rsidRPr="00F17E37">
        <w:rPr>
          <w:rFonts w:asciiTheme="majorHAnsi" w:hAnsiTheme="majorHAnsi"/>
          <w:bCs/>
        </w:rPr>
        <w:t xml:space="preserve">U odnosu na  predhodnu godinu  iznos je </w:t>
      </w:r>
      <w:r w:rsidR="009F6F95">
        <w:rPr>
          <w:rFonts w:asciiTheme="majorHAnsi" w:hAnsiTheme="majorHAnsi"/>
          <w:bCs/>
        </w:rPr>
        <w:t>povećan</w:t>
      </w:r>
      <w:r w:rsidR="00776104" w:rsidRPr="00F17E37">
        <w:rPr>
          <w:rFonts w:asciiTheme="majorHAnsi" w:hAnsiTheme="majorHAnsi"/>
          <w:bCs/>
        </w:rPr>
        <w:t xml:space="preserve">  za </w:t>
      </w:r>
      <w:r w:rsidR="009F6F95">
        <w:rPr>
          <w:rFonts w:asciiTheme="majorHAnsi" w:hAnsiTheme="majorHAnsi"/>
          <w:bCs/>
        </w:rPr>
        <w:t>6.648,80KM na teret rashoda.</w:t>
      </w:r>
      <w:r w:rsidR="00776104" w:rsidRPr="00F17E37">
        <w:rPr>
          <w:rFonts w:asciiTheme="majorHAnsi" w:hAnsiTheme="majorHAnsi"/>
          <w:bCs/>
        </w:rPr>
        <w:t xml:space="preserve"> </w:t>
      </w:r>
    </w:p>
    <w:p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CE219F" w:rsidRDefault="001C53FE" w:rsidP="00CE219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C10839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</w:t>
      </w:r>
      <w:r w:rsidR="00CE219F">
        <w:rPr>
          <w:rFonts w:asciiTheme="majorHAnsi" w:hAnsiTheme="majorHAnsi"/>
          <w:b/>
          <w:bCs/>
          <w:u w:val="single"/>
        </w:rPr>
        <w:t>47</w:t>
      </w:r>
      <w:r w:rsidRPr="00F17E37">
        <w:rPr>
          <w:rFonts w:asciiTheme="majorHAnsi" w:hAnsiTheme="majorHAnsi"/>
          <w:b/>
          <w:bCs/>
          <w:u w:val="single"/>
        </w:rPr>
        <w:t>)</w:t>
      </w:r>
      <w:bookmarkStart w:id="27" w:name="_Toc33186089"/>
    </w:p>
    <w:p w:rsidR="00CA254B" w:rsidRDefault="00CA254B" w:rsidP="00CE219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:rsidR="009F6F95" w:rsidRPr="00CE219F" w:rsidRDefault="00287CD0" w:rsidP="00CE219F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CE219F">
        <w:rPr>
          <w:b/>
        </w:rPr>
        <w:t>Obaveze</w:t>
      </w:r>
      <w:bookmarkEnd w:id="27"/>
    </w:p>
    <w:p w:rsidR="00287CD0" w:rsidRPr="00CD065D" w:rsidRDefault="00287CD0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 w:rsidRPr="00CD065D">
        <w:rPr>
          <w:rFonts w:asciiTheme="majorHAnsi" w:hAnsiTheme="majorHAnsi"/>
          <w:bCs/>
        </w:rPr>
        <w:t xml:space="preserve">Obaveze </w:t>
      </w:r>
      <w:proofErr w:type="gramStart"/>
      <w:r w:rsidRPr="00CD065D">
        <w:rPr>
          <w:rFonts w:asciiTheme="majorHAnsi" w:hAnsiTheme="majorHAnsi"/>
          <w:bCs/>
        </w:rPr>
        <w:t>na</w:t>
      </w:r>
      <w:proofErr w:type="gramEnd"/>
      <w:r w:rsidRPr="00CD065D">
        <w:rPr>
          <w:rFonts w:asciiTheme="majorHAnsi" w:hAnsiTheme="majorHAnsi"/>
          <w:bCs/>
        </w:rPr>
        <w:t xml:space="preserve"> dan 31.12.2019.g.iznose </w:t>
      </w:r>
      <w:r w:rsidR="00D47B93">
        <w:rPr>
          <w:rFonts w:asciiTheme="majorHAnsi" w:hAnsiTheme="majorHAnsi"/>
          <w:bCs/>
        </w:rPr>
        <w:t>23.970.226KM</w:t>
      </w:r>
      <w:r w:rsidRPr="00CD065D">
        <w:rPr>
          <w:rFonts w:asciiTheme="majorHAnsi" w:hAnsiTheme="majorHAnsi"/>
          <w:bCs/>
        </w:rPr>
        <w:t xml:space="preserve"> a čine ih sledeće obaveze:</w:t>
      </w:r>
    </w:p>
    <w:p w:rsidR="005F2791" w:rsidRDefault="005F2791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E219F" w:rsidRPr="00CA254B" w:rsidRDefault="00CA254B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CA254B">
        <w:rPr>
          <w:rFonts w:asciiTheme="majorHAnsi" w:hAnsiTheme="majorHAnsi"/>
          <w:b/>
          <w:bCs/>
          <w:u w:val="single"/>
        </w:rPr>
        <w:t>NOTA</w:t>
      </w:r>
      <w:r w:rsidR="00C10839">
        <w:rPr>
          <w:rFonts w:asciiTheme="majorHAnsi" w:hAnsiTheme="majorHAnsi"/>
          <w:b/>
          <w:bCs/>
          <w:u w:val="single"/>
        </w:rPr>
        <w:t xml:space="preserve"> 28</w:t>
      </w:r>
      <w:r w:rsidRPr="00CA254B">
        <w:rPr>
          <w:rFonts w:asciiTheme="majorHAnsi" w:hAnsiTheme="majorHAnsi"/>
          <w:b/>
          <w:bCs/>
          <w:u w:val="single"/>
        </w:rPr>
        <w:t xml:space="preserve"> (AOP 148)</w:t>
      </w:r>
    </w:p>
    <w:p w:rsidR="00CA254B" w:rsidRDefault="00CA254B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:rsidR="00CA254B" w:rsidRDefault="00CA254B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Obaveze po kratkoročnim kreditima</w:t>
      </w:r>
    </w:p>
    <w:p w:rsidR="00CA254B" w:rsidRDefault="00CA254B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 w:rsidRPr="00CA254B">
        <w:rPr>
          <w:rFonts w:asciiTheme="majorHAnsi" w:hAnsiTheme="majorHAnsi"/>
          <w:bCs/>
        </w:rPr>
        <w:t xml:space="preserve">Autocentar </w:t>
      </w:r>
      <w:r>
        <w:rPr>
          <w:rFonts w:asciiTheme="majorHAnsi" w:hAnsiTheme="majorHAnsi"/>
          <w:bCs/>
        </w:rPr>
        <w:t>N</w:t>
      </w:r>
      <w:r w:rsidRPr="00CA254B">
        <w:rPr>
          <w:rFonts w:asciiTheme="majorHAnsi" w:hAnsiTheme="majorHAnsi"/>
          <w:bCs/>
        </w:rPr>
        <w:t xml:space="preserve">ešković doo </w:t>
      </w:r>
      <w:r>
        <w:rPr>
          <w:rFonts w:asciiTheme="majorHAnsi" w:hAnsiTheme="majorHAnsi"/>
          <w:bCs/>
        </w:rPr>
        <w:t xml:space="preserve">ima obavezu prema bankama u iznosu </w:t>
      </w:r>
      <w:proofErr w:type="gramStart"/>
      <w:r>
        <w:rPr>
          <w:rFonts w:asciiTheme="majorHAnsi" w:hAnsiTheme="majorHAnsi"/>
          <w:bCs/>
        </w:rPr>
        <w:t>od</w:t>
      </w:r>
      <w:proofErr w:type="gramEnd"/>
      <w:r>
        <w:rPr>
          <w:rFonts w:asciiTheme="majorHAnsi" w:hAnsiTheme="majorHAnsi"/>
          <w:bCs/>
        </w:rPr>
        <w:t xml:space="preserve"> 1.435.000KM.</w:t>
      </w:r>
    </w:p>
    <w:p w:rsidR="00CA254B" w:rsidRPr="00CA254B" w:rsidRDefault="00CA254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:rsidR="00CA254B" w:rsidRDefault="005F2791" w:rsidP="00CA254B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>NOTA 2</w:t>
      </w:r>
      <w:bookmarkStart w:id="28" w:name="_Toc33186090"/>
      <w:r w:rsidR="00C10839">
        <w:rPr>
          <w:rFonts w:asciiTheme="majorHAnsi" w:hAnsiTheme="majorHAnsi"/>
          <w:b/>
          <w:bCs/>
          <w:u w:val="single"/>
        </w:rPr>
        <w:t>9</w:t>
      </w:r>
      <w:r w:rsidR="00CA254B">
        <w:rPr>
          <w:rFonts w:asciiTheme="majorHAnsi" w:hAnsiTheme="majorHAnsi"/>
          <w:b/>
          <w:bCs/>
          <w:u w:val="single"/>
        </w:rPr>
        <w:t>(AOP160</w:t>
      </w:r>
    </w:p>
    <w:p w:rsidR="00776104" w:rsidRPr="00CA254B" w:rsidRDefault="00776104" w:rsidP="00CA254B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CA254B">
        <w:rPr>
          <w:b/>
        </w:rPr>
        <w:t>Obaveze za premiju i specifične obaveze</w:t>
      </w:r>
      <w:bookmarkEnd w:id="28"/>
    </w:p>
    <w:p w:rsidR="00776104" w:rsidRDefault="005A087F" w:rsidP="00CA254B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Obaveze po osnovu specifičnih odnosa su obaveze prema reosiguravačima</w:t>
      </w:r>
      <w:r w:rsidR="00776104" w:rsidRPr="00F17E37">
        <w:rPr>
          <w:rFonts w:asciiTheme="majorHAnsi" w:hAnsiTheme="majorHAnsi"/>
          <w:b/>
          <w:bCs/>
        </w:rPr>
        <w:t>:</w:t>
      </w:r>
    </w:p>
    <w:p w:rsidR="003264D9" w:rsidRPr="00F17E37" w:rsidRDefault="003264D9" w:rsidP="00CA254B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593"/>
        <w:gridCol w:w="152"/>
      </w:tblGrid>
      <w:tr w:rsidR="00776104" w:rsidRPr="00F17E37" w:rsidTr="002C4745">
        <w:trPr>
          <w:gridAfter w:val="1"/>
          <w:wAfter w:w="152" w:type="dxa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A658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201</w:t>
            </w:r>
            <w:r w:rsidR="00AA658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9F6F95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31CC2" w:rsidRPr="00F17E37" w:rsidTr="002C474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2.169,38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31CC2" w:rsidRDefault="00231CC2" w:rsidP="00A632F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231CC2" w:rsidRPr="00F17E37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2C474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AA658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46.226,36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A632F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2C4745">
        <w:trPr>
          <w:gridAfter w:val="1"/>
          <w:wAfter w:w="152" w:type="dxa"/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AA658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124.659,56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A632FA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F17E37" w:rsidTr="002C4745">
        <w:trPr>
          <w:gridAfter w:val="1"/>
          <w:wAfter w:w="152" w:type="dxa"/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231CC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173.055,30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8E181E" w:rsidRPr="00F17E37" w:rsidRDefault="008E181E" w:rsidP="003264D9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E181E" w:rsidRPr="00F17E37" w:rsidRDefault="008E181E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:rsidR="00776104" w:rsidRPr="00F17E37" w:rsidRDefault="00BF36FE" w:rsidP="009F6F95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201</w:t>
            </w:r>
            <w:r w:rsidR="009F6F95">
              <w:rPr>
                <w:rFonts w:asciiTheme="majorHAnsi" w:hAnsiTheme="majorHAnsi"/>
                <w:color w:val="000000"/>
              </w:rPr>
              <w:t>9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domaće autoodgovornosti sa Bosna Re d.d.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 xml:space="preserve"> viška štete za zelenu kartu sa Biroom zelene karte BiH Sarajevo.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:rsidTr="00B57EA2">
        <w:trPr>
          <w:trHeight w:val="300"/>
        </w:trPr>
        <w:tc>
          <w:tcPr>
            <w:tcW w:w="94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proofErr w:type="gramStart"/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</w:t>
            </w:r>
            <w:proofErr w:type="gramEnd"/>
            <w:r w:rsidR="00776104" w:rsidRPr="00F17E37">
              <w:rPr>
                <w:rFonts w:asciiTheme="majorHAnsi" w:hAnsiTheme="majorHAnsi"/>
                <w:color w:val="000000"/>
              </w:rPr>
              <w:t>-ekscedentni ugovor o reosiguranju imovinskih rizika sa Bosna Re d.d.Sarajevo.</w:t>
            </w:r>
          </w:p>
          <w:p w:rsidR="0015321E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</w:t>
            </w:r>
            <w:r w:rsidR="00E04CC2" w:rsidRPr="00F17E37">
              <w:rPr>
                <w:rFonts w:asciiTheme="majorHAnsi" w:hAnsiTheme="majorHAnsi"/>
                <w:color w:val="000000"/>
              </w:rPr>
              <w:t>.</w:t>
            </w:r>
            <w:r w:rsidR="00D603A3">
              <w:rPr>
                <w:rFonts w:asciiTheme="majorHAnsi" w:hAnsiTheme="majorHAnsi"/>
                <w:color w:val="000000"/>
              </w:rPr>
              <w:t xml:space="preserve"> Kvotni u</w:t>
            </w:r>
            <w:r w:rsidR="00E04CC2" w:rsidRPr="00F17E37">
              <w:rPr>
                <w:rFonts w:asciiTheme="majorHAnsi" w:hAnsiTheme="majorHAnsi"/>
                <w:color w:val="000000"/>
              </w:rPr>
              <w:t>govor o reosiguranju auto kaska sa Bosna Re d.d.Sarajevo</w:t>
            </w:r>
          </w:p>
          <w:p w:rsidR="00921546" w:rsidRPr="00F17E37" w:rsidRDefault="00921546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10839">
        <w:rPr>
          <w:rFonts w:asciiTheme="majorHAnsi" w:hAnsiTheme="majorHAnsi"/>
          <w:b/>
          <w:bCs/>
          <w:u w:val="single"/>
        </w:rPr>
        <w:t>30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:rsidR="00776104" w:rsidRPr="00CD065D" w:rsidRDefault="00776104" w:rsidP="00E7148F">
      <w:pPr>
        <w:pStyle w:val="Heading2"/>
        <w:numPr>
          <w:ilvl w:val="0"/>
          <w:numId w:val="0"/>
        </w:numPr>
      </w:pPr>
      <w:bookmarkStart w:id="29" w:name="_Toc33186091"/>
      <w:r w:rsidRPr="00CD065D">
        <w:lastRenderedPageBreak/>
        <w:t>Kratkoročne obaveze</w:t>
      </w:r>
      <w:bookmarkEnd w:id="29"/>
    </w:p>
    <w:p w:rsidR="00776104" w:rsidRPr="00F17E37" w:rsidRDefault="00BF36FE" w:rsidP="00434D89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proofErr w:type="gramStart"/>
      <w:r w:rsidR="00E13493">
        <w:rPr>
          <w:rFonts w:asciiTheme="majorHAnsi" w:hAnsiTheme="majorHAnsi"/>
          <w:bCs/>
        </w:rPr>
        <w:t>:zarade</w:t>
      </w:r>
      <w:proofErr w:type="gramEnd"/>
      <w:r w:rsidR="00E13493">
        <w:rPr>
          <w:rFonts w:asciiTheme="majorHAnsi" w:hAnsiTheme="majorHAnsi"/>
          <w:bCs/>
        </w:rPr>
        <w:t xml:space="preserve">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1074"/>
      </w:tblGrid>
      <w:tr w:rsidR="00776104" w:rsidRPr="00F17E37" w:rsidTr="00CA254B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034B5E" w:rsidP="00CA254B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CA254B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CA254B" w:rsidP="008275EA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Autocentar Nešković doo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063EF8" w:rsidRDefault="00CA254B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:rsidTr="00A632FA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8275EA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115.</w:t>
            </w:r>
            <w:r w:rsidR="005657E6">
              <w:rPr>
                <w:rFonts w:asciiTheme="majorHAnsi" w:hAnsiTheme="maj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A254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063EF8" w:rsidRDefault="005657E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115.214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5657E6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063EF8" w:rsidRDefault="005657E6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869</w:t>
            </w:r>
          </w:p>
        </w:tc>
      </w:tr>
      <w:tr w:rsidR="00C13AF6" w:rsidRPr="00F17E37" w:rsidTr="00A632FA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7C69C9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71.</w:t>
            </w:r>
            <w:r w:rsidR="005657E6">
              <w:rPr>
                <w:rFonts w:asciiTheme="majorHAnsi" w:hAnsiTheme="majorHAns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3AF6" w:rsidRPr="00F17E37" w:rsidRDefault="00CA254B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326.500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AF6" w:rsidRPr="00063EF8" w:rsidRDefault="005657E6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397.918</w:t>
            </w:r>
          </w:p>
        </w:tc>
      </w:tr>
      <w:tr w:rsidR="00776104" w:rsidRPr="00F17E37" w:rsidTr="00A632FA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56.771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375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5.193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063EF8" w:rsidRDefault="00A37528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61.964</w:t>
            </w:r>
          </w:p>
        </w:tc>
      </w:tr>
      <w:tr w:rsidR="00776104" w:rsidRPr="00F17E37" w:rsidTr="00A632FA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333.221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CA254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20.996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063EF8" w:rsidRDefault="005657E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354.217</w:t>
            </w:r>
          </w:p>
        </w:tc>
      </w:tr>
      <w:tr w:rsidR="00776104" w:rsidRPr="00F17E37" w:rsidTr="00A632FA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C69C9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</w:t>
            </w:r>
            <w:r w:rsidR="001B398D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063EF8" w:rsidRDefault="005657E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63EF8">
              <w:rPr>
                <w:rFonts w:asciiTheme="majorHAnsi" w:hAnsiTheme="majorHAnsi"/>
                <w:color w:val="000000"/>
                <w:sz w:val="20"/>
                <w:szCs w:val="20"/>
              </w:rPr>
              <w:t>7.445</w:t>
            </w:r>
          </w:p>
        </w:tc>
      </w:tr>
      <w:tr w:rsidR="000773C7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4C354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</w:t>
            </w:r>
            <w:r w:rsidR="004C354D"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5657E6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840.800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0773C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3C7" w:rsidRPr="00F17E37" w:rsidRDefault="005657E6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840.800</w:t>
            </w:r>
          </w:p>
        </w:tc>
      </w:tr>
      <w:tr w:rsidR="00776104" w:rsidRPr="00F17E37" w:rsidTr="00A632FA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69C9" w:rsidRPr="00F17E37" w:rsidRDefault="007C69C9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5657E6">
              <w:rPr>
                <w:rFonts w:asciiTheme="majorHAnsi" w:hAnsiTheme="majorHAns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77610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657E6" w:rsidP="00CA254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1279</w:t>
            </w:r>
          </w:p>
        </w:tc>
      </w:tr>
      <w:tr w:rsidR="00776104" w:rsidRPr="00F17E37" w:rsidTr="00A632FA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1B398D" w:rsidP="005657E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1.426.967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F17E37" w:rsidRDefault="00A3752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352.739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F17E37" w:rsidRDefault="005657E6" w:rsidP="00A3752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A37528">
              <w:rPr>
                <w:rFonts w:asciiTheme="majorHAnsi" w:hAnsiTheme="majorHAnsi"/>
                <w:color w:val="000000"/>
                <w:sz w:val="20"/>
                <w:szCs w:val="20"/>
              </w:rPr>
              <w:t>779.706</w:t>
            </w:r>
          </w:p>
        </w:tc>
      </w:tr>
    </w:tbl>
    <w:p w:rsidR="00AB3384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:rsidR="00A37528" w:rsidRPr="00F17E37" w:rsidRDefault="00A37528" w:rsidP="000935AB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Po osnovu konsolidacije obaveze su umanjene za iznos od 1207 </w:t>
      </w:r>
      <w:proofErr w:type="gramStart"/>
      <w:r>
        <w:rPr>
          <w:rFonts w:asciiTheme="majorHAnsi" w:hAnsiTheme="majorHAnsi"/>
          <w:bCs/>
        </w:rPr>
        <w:t>KM  a</w:t>
      </w:r>
      <w:proofErr w:type="gramEnd"/>
      <w:r>
        <w:rPr>
          <w:rFonts w:asciiTheme="majorHAnsi" w:hAnsiTheme="majorHAnsi"/>
          <w:bCs/>
        </w:rPr>
        <w:t xml:space="preserve"> povećane  po osnovu poreza na dobit 11KM,tako da su ukupne kratkoročne obaveze 1.778.510</w:t>
      </w:r>
      <w:r w:rsidR="00507A01">
        <w:rPr>
          <w:rFonts w:asciiTheme="majorHAnsi" w:hAnsiTheme="majorHAnsi"/>
          <w:bCs/>
        </w:rPr>
        <w:t>KM.</w:t>
      </w:r>
    </w:p>
    <w:p w:rsidR="00E7148F" w:rsidRDefault="00776104" w:rsidP="00E7148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C10839">
        <w:rPr>
          <w:rFonts w:asciiTheme="majorHAnsi" w:hAnsiTheme="majorHAnsi"/>
          <w:b/>
          <w:bCs/>
          <w:u w:val="single"/>
        </w:rPr>
        <w:t>31</w:t>
      </w:r>
      <w:r w:rsidRPr="00F17E37">
        <w:rPr>
          <w:rFonts w:asciiTheme="majorHAnsi" w:hAnsiTheme="majorHAnsi"/>
          <w:b/>
          <w:bCs/>
          <w:u w:val="single"/>
        </w:rPr>
        <w:t>(AOP 170</w:t>
      </w:r>
      <w:r w:rsidR="001D38F3">
        <w:rPr>
          <w:rFonts w:asciiTheme="majorHAnsi" w:hAnsiTheme="majorHAnsi"/>
          <w:b/>
          <w:bCs/>
          <w:u w:val="single"/>
        </w:rPr>
        <w:t>+</w:t>
      </w:r>
      <w:r w:rsidR="001D38F3" w:rsidRPr="00A827EF">
        <w:rPr>
          <w:rFonts w:asciiTheme="majorHAnsi" w:hAnsiTheme="majorHAnsi"/>
          <w:b/>
          <w:bCs/>
          <w:u w:val="single"/>
        </w:rPr>
        <w:t>171</w:t>
      </w:r>
      <w:r w:rsidRPr="00A827EF">
        <w:rPr>
          <w:rFonts w:asciiTheme="majorHAnsi" w:hAnsiTheme="majorHAnsi"/>
          <w:b/>
          <w:bCs/>
          <w:u w:val="single"/>
        </w:rPr>
        <w:t>)</w:t>
      </w:r>
      <w:bookmarkStart w:id="30" w:name="_Toc475624866"/>
      <w:bookmarkStart w:id="31" w:name="_Toc33186092"/>
    </w:p>
    <w:p w:rsidR="00921546" w:rsidRPr="00E7148F" w:rsidRDefault="00776104" w:rsidP="00E7148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E7148F">
        <w:rPr>
          <w:b/>
        </w:rPr>
        <w:t>Pasivna vremenska razgraničenja</w:t>
      </w:r>
      <w:bookmarkEnd w:id="30"/>
      <w:bookmarkEnd w:id="31"/>
      <w:r w:rsidR="00510A54" w:rsidRPr="00E7148F">
        <w:rPr>
          <w:b/>
        </w:rPr>
        <w:t xml:space="preserve"> </w:t>
      </w:r>
    </w:p>
    <w:p w:rsidR="00776104" w:rsidRPr="00D900B9" w:rsidRDefault="00D900B9" w:rsidP="00921546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E1F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E12E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E12E1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E12E1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146.436,15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152.242,50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-5806,35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15.970,41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12.236,76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3.733,65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433.685,75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422.108,39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11.577,36</w:t>
            </w:r>
          </w:p>
        </w:tc>
      </w:tr>
      <w:tr w:rsidR="00776104" w:rsidRPr="00F17E3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175674,46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155.774,28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19.900,18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27.105,59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35.528,40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-8.422,81</w:t>
            </w:r>
          </w:p>
        </w:tc>
      </w:tr>
      <w:tr w:rsidR="00776104" w:rsidRPr="00F17E3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8.081.548,08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7.702.842,94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378.705,14</w:t>
            </w:r>
          </w:p>
        </w:tc>
      </w:tr>
      <w:tr w:rsidR="00776104" w:rsidRPr="00F17E3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622,71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622,71</w:t>
            </w:r>
          </w:p>
        </w:tc>
      </w:tr>
      <w:tr w:rsidR="00A0458A" w:rsidRPr="00F17E3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57EA2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7.114,48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9.962,95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58A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-2.848,47</w:t>
            </w:r>
          </w:p>
        </w:tc>
      </w:tr>
      <w:tr w:rsidR="002477EC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Pren. Pre. od ostalih fin.gubitaka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F17E37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477EC" w:rsidRPr="00C012A4" w:rsidRDefault="002477EC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316,33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EC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-316,33</w:t>
            </w:r>
          </w:p>
        </w:tc>
      </w:tr>
      <w:tr w:rsidR="00C12083" w:rsidRPr="00F17E3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7.550,35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652,14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083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6.898,21</w:t>
            </w:r>
          </w:p>
        </w:tc>
      </w:tr>
      <w:tr w:rsidR="00776104" w:rsidRPr="00F17E3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8.895.707,98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B57EA2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8.491.664,69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CB1433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404.043,29</w:t>
            </w:r>
          </w:p>
        </w:tc>
      </w:tr>
    </w:tbl>
    <w:p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.895.707,98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u odnosu na predhodnu godinu je </w:t>
      </w:r>
      <w:r w:rsidR="00CB1433">
        <w:rPr>
          <w:rFonts w:asciiTheme="majorHAnsi" w:hAnsiTheme="majorHAnsi"/>
          <w:bCs/>
        </w:rPr>
        <w:t>veća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CB1433">
        <w:rPr>
          <w:rFonts w:asciiTheme="majorHAnsi" w:hAnsiTheme="majorHAnsi"/>
          <w:bCs/>
        </w:rPr>
        <w:t>404.043,29</w:t>
      </w:r>
      <w:r w:rsidR="00F22356" w:rsidRPr="00F17E37">
        <w:rPr>
          <w:rFonts w:asciiTheme="majorHAnsi" w:hAnsiTheme="majorHAnsi"/>
          <w:bCs/>
        </w:rPr>
        <w:t xml:space="preserve"> KM.</w:t>
      </w:r>
    </w:p>
    <w:p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87CD0">
        <w:rPr>
          <w:rFonts w:asciiTheme="majorHAnsi" w:hAnsiTheme="majorHAnsi"/>
          <w:b/>
          <w:bCs/>
          <w:u w:val="single"/>
        </w:rPr>
        <w:t>3</w:t>
      </w:r>
      <w:r w:rsidR="00C10839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:rsidR="00776104" w:rsidRPr="00CD065D" w:rsidRDefault="00776104" w:rsidP="00E7148F">
      <w:pPr>
        <w:pStyle w:val="Heading2"/>
        <w:numPr>
          <w:ilvl w:val="0"/>
          <w:numId w:val="0"/>
        </w:numPr>
      </w:pPr>
      <w:bookmarkStart w:id="32" w:name="_Toc33186093"/>
      <w:r w:rsidRPr="00CD065D">
        <w:t>Rezervacija šteta</w:t>
      </w:r>
      <w:r w:rsidR="002C79B8" w:rsidRPr="00CD065D">
        <w:t xml:space="preserve"> neživotnih osiguranja</w:t>
      </w:r>
      <w:bookmarkEnd w:id="32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9B06CF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9B06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9B06CF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31.12.201</w:t>
            </w:r>
            <w:r w:rsidR="009B06CF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47.669,41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3C8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14.749,85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16.106,40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-185,00</w:t>
            </w:r>
          </w:p>
        </w:tc>
      </w:tr>
      <w:tr w:rsidR="00DF081C" w:rsidRPr="00F17E37" w:rsidTr="00A632FA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302.921,91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59.469,90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osn. </w:t>
            </w:r>
            <w:proofErr w:type="gramStart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šteta</w:t>
            </w:r>
            <w:proofErr w:type="gramEnd"/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3.023.889,43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100.500,00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2.923.389,43</w:t>
            </w:r>
          </w:p>
        </w:tc>
      </w:tr>
      <w:tr w:rsidR="00DF081C" w:rsidRPr="00F17E3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6CF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1.603,28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24.619,65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-23.016,37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8.378.761,87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81C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-1861.153,63</w:t>
            </w:r>
          </w:p>
        </w:tc>
      </w:tr>
      <w:tr w:rsidR="00DF081C" w:rsidRPr="00F17E3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65,43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-65,43</w:t>
            </w:r>
          </w:p>
        </w:tc>
      </w:tr>
      <w:tr w:rsidR="00DF081C" w:rsidRPr="00F17E3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9B06C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8.870.644,67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6104" w:rsidRPr="00C012A4" w:rsidRDefault="00402663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1.113.188,75</w:t>
            </w:r>
          </w:p>
        </w:tc>
      </w:tr>
    </w:tbl>
    <w:p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   </w:t>
      </w:r>
    </w:p>
    <w:p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EF537F">
        <w:rPr>
          <w:rFonts w:asciiTheme="majorHAnsi" w:hAnsiTheme="majorHAnsi"/>
          <w:bCs/>
        </w:rPr>
        <w:t>9.983.833</w:t>
      </w:r>
      <w:proofErr w:type="gramStart"/>
      <w:r w:rsidR="00EF537F">
        <w:rPr>
          <w:rFonts w:asciiTheme="majorHAnsi" w:hAnsiTheme="majorHAnsi"/>
          <w:bCs/>
        </w:rPr>
        <w:t>,42KM</w:t>
      </w:r>
      <w:proofErr w:type="gramEnd"/>
      <w:r w:rsidR="00776104" w:rsidRPr="00F17E37">
        <w:rPr>
          <w:rFonts w:asciiTheme="majorHAnsi" w:hAnsiTheme="majorHAnsi"/>
          <w:bCs/>
        </w:rPr>
        <w:t xml:space="preserve"> je </w:t>
      </w:r>
      <w:r w:rsidR="00EF537F">
        <w:rPr>
          <w:rFonts w:asciiTheme="majorHAnsi" w:hAnsiTheme="majorHAnsi"/>
          <w:bCs/>
        </w:rPr>
        <w:t>veća</w:t>
      </w:r>
      <w:r w:rsidR="00776104" w:rsidRPr="00F17E37">
        <w:rPr>
          <w:rFonts w:asciiTheme="majorHAnsi" w:hAnsiTheme="majorHAnsi"/>
          <w:bCs/>
        </w:rPr>
        <w:t xml:space="preserve"> u odnosu na predhodnu godinu u iznosu od </w:t>
      </w:r>
      <w:r w:rsidR="00EF537F">
        <w:rPr>
          <w:rFonts w:asciiTheme="majorHAnsi" w:hAnsiTheme="majorHAnsi"/>
          <w:bCs/>
        </w:rPr>
        <w:t>1.113.188,75KM</w:t>
      </w:r>
      <w:r w:rsidR="00776104" w:rsidRPr="00F17E37">
        <w:rPr>
          <w:rFonts w:asciiTheme="majorHAnsi" w:hAnsiTheme="majorHAnsi"/>
          <w:bCs/>
        </w:rPr>
        <w:t xml:space="preserve"> i knjižena je na troškove rez</w:t>
      </w:r>
      <w:r w:rsidR="00924616" w:rsidRPr="00F17E37">
        <w:rPr>
          <w:rFonts w:asciiTheme="majorHAnsi" w:hAnsiTheme="majorHAnsi"/>
          <w:bCs/>
        </w:rPr>
        <w:t xml:space="preserve">ervacije šteta.                                                                                                                                                                  </w:t>
      </w:r>
      <w:r w:rsidR="0099063F" w:rsidRPr="00F17E37">
        <w:rPr>
          <w:rFonts w:asciiTheme="majorHAnsi" w:hAnsiTheme="majorHAnsi"/>
          <w:bCs/>
        </w:rPr>
        <w:t xml:space="preserve">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                       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                  Navedena </w:t>
      </w:r>
      <w:r w:rsidR="00776104" w:rsidRPr="00F17E37">
        <w:rPr>
          <w:rFonts w:asciiTheme="majorHAnsi" w:hAnsiTheme="majorHAnsi"/>
          <w:bCs/>
        </w:rPr>
        <w:t xml:space="preserve">rezervacija je urađena </w:t>
      </w:r>
      <w:proofErr w:type="gramStart"/>
      <w:r w:rsidR="00776104" w:rsidRPr="00F17E37">
        <w:rPr>
          <w:rFonts w:asciiTheme="majorHAnsi" w:hAnsiTheme="majorHAnsi"/>
          <w:bCs/>
        </w:rPr>
        <w:t>za :</w:t>
      </w:r>
      <w:proofErr w:type="gramEnd"/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EF537F">
        <w:rPr>
          <w:rFonts w:asciiTheme="majorHAnsi" w:hAnsiTheme="majorHAnsi"/>
          <w:bCs/>
        </w:rPr>
        <w:t>7.849.138,88</w:t>
      </w:r>
      <w:r w:rsidRPr="00F17E37">
        <w:rPr>
          <w:rFonts w:asciiTheme="majorHAnsi" w:hAnsiTheme="majorHAnsi"/>
          <w:bCs/>
        </w:rPr>
        <w:t xml:space="preserve"> i</w:t>
      </w:r>
    </w:p>
    <w:p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</w:t>
      </w:r>
      <w:proofErr w:type="gramStart"/>
      <w:r w:rsidRPr="00F17E37">
        <w:rPr>
          <w:rFonts w:asciiTheme="majorHAnsi" w:hAnsiTheme="majorHAnsi"/>
          <w:bCs/>
        </w:rPr>
        <w:t>nastale  a</w:t>
      </w:r>
      <w:proofErr w:type="gramEnd"/>
      <w:r w:rsidRPr="00F17E37">
        <w:rPr>
          <w:rFonts w:asciiTheme="majorHAnsi" w:hAnsiTheme="majorHAnsi"/>
          <w:bCs/>
        </w:rPr>
        <w:t xml:space="preserve"> do 31.12.201</w:t>
      </w:r>
      <w:r w:rsidR="00EF537F">
        <w:rPr>
          <w:rFonts w:asciiTheme="majorHAnsi" w:hAnsiTheme="majorHAnsi"/>
          <w:bCs/>
        </w:rPr>
        <w:t>9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EF537F">
        <w:rPr>
          <w:rFonts w:asciiTheme="majorHAnsi" w:hAnsiTheme="majorHAnsi"/>
          <w:bCs/>
        </w:rPr>
        <w:t>2.134.694,54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E7148F">
        <w:rPr>
          <w:rFonts w:asciiTheme="majorHAnsi" w:hAnsiTheme="majorHAnsi"/>
          <w:b/>
          <w:bCs/>
          <w:u w:val="single"/>
        </w:rPr>
        <w:t xml:space="preserve">NOTA </w:t>
      </w:r>
      <w:r w:rsidR="00287CD0" w:rsidRPr="00E7148F">
        <w:rPr>
          <w:rFonts w:asciiTheme="majorHAnsi" w:hAnsiTheme="majorHAnsi"/>
          <w:b/>
          <w:bCs/>
          <w:u w:val="single"/>
        </w:rPr>
        <w:t>3</w:t>
      </w:r>
      <w:r w:rsidR="00C10839">
        <w:rPr>
          <w:rFonts w:asciiTheme="majorHAnsi" w:hAnsiTheme="majorHAnsi"/>
          <w:b/>
          <w:bCs/>
          <w:u w:val="single"/>
        </w:rPr>
        <w:t>3</w:t>
      </w:r>
      <w:r w:rsidRPr="00E7148F">
        <w:rPr>
          <w:rFonts w:asciiTheme="majorHAnsi" w:hAnsiTheme="majorHAnsi"/>
          <w:b/>
          <w:bCs/>
          <w:u w:val="single"/>
        </w:rPr>
        <w:t>(AOP175</w:t>
      </w:r>
      <w:r w:rsidRPr="00E7148F">
        <w:rPr>
          <w:rFonts w:asciiTheme="majorHAnsi" w:hAnsiTheme="majorHAnsi"/>
          <w:b/>
          <w:bCs/>
        </w:rPr>
        <w:t>)</w:t>
      </w:r>
    </w:p>
    <w:p w:rsidR="00FB64B2" w:rsidRPr="00CD065D" w:rsidRDefault="00776104" w:rsidP="00E7148F">
      <w:pPr>
        <w:pStyle w:val="Heading2"/>
        <w:numPr>
          <w:ilvl w:val="0"/>
          <w:numId w:val="0"/>
        </w:numPr>
        <w:ind w:left="578" w:hanging="578"/>
      </w:pPr>
      <w:bookmarkStart w:id="33" w:name="_Toc33186094"/>
      <w:r w:rsidRPr="00CD065D">
        <w:t>Druga pasivna razgraničenja</w:t>
      </w:r>
      <w:bookmarkEnd w:id="33"/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EF537F">
        <w:rPr>
          <w:rFonts w:asciiTheme="majorHAnsi" w:hAnsiTheme="majorHAnsi"/>
          <w:bCs/>
        </w:rPr>
        <w:t>451.558</w:t>
      </w:r>
      <w:proofErr w:type="gramStart"/>
      <w:r w:rsidR="00EF537F">
        <w:rPr>
          <w:rFonts w:asciiTheme="majorHAnsi" w:hAnsiTheme="majorHAnsi"/>
          <w:bCs/>
        </w:rPr>
        <w:t>,37</w:t>
      </w:r>
      <w:proofErr w:type="gramEnd"/>
      <w:r w:rsidRPr="00F17E37">
        <w:rPr>
          <w:rFonts w:asciiTheme="majorHAnsi" w:hAnsiTheme="majorHAnsi"/>
          <w:bCs/>
        </w:rPr>
        <w:t xml:space="preserve"> se sastoje iz:</w:t>
      </w:r>
    </w:p>
    <w:p w:rsidR="00776104" w:rsidRPr="00F17E37" w:rsidRDefault="00776104" w:rsidP="006D75F0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</w:t>
      </w:r>
      <w:proofErr w:type="gramEnd"/>
      <w:r w:rsidR="00EF537F">
        <w:rPr>
          <w:rFonts w:asciiTheme="majorHAnsi" w:hAnsiTheme="majorHAnsi"/>
          <w:bCs/>
        </w:rPr>
        <w:t xml:space="preserve"> za preventivu u iznosu od 1.419.542,13KM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EF537F">
        <w:rPr>
          <w:rFonts w:asciiTheme="majorHAnsi" w:hAnsiTheme="majorHAnsi"/>
          <w:bCs/>
        </w:rPr>
        <w:t>26.217,81KM</w:t>
      </w:r>
      <w:r w:rsidRPr="00F17E37">
        <w:rPr>
          <w:rFonts w:asciiTheme="majorHAnsi" w:hAnsiTheme="majorHAnsi"/>
          <w:bCs/>
        </w:rPr>
        <w:t>.</w:t>
      </w:r>
    </w:p>
    <w:p w:rsidR="005C2383" w:rsidRPr="00F17E37" w:rsidRDefault="00B26C10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Doprinos za preventivu je formiran u skladu </w:t>
      </w:r>
      <w:proofErr w:type="gramStart"/>
      <w:r w:rsidR="00776104" w:rsidRPr="00F17E37">
        <w:rPr>
          <w:rFonts w:asciiTheme="majorHAnsi" w:hAnsiTheme="majorHAnsi"/>
          <w:bCs/>
        </w:rPr>
        <w:t>sa</w:t>
      </w:r>
      <w:proofErr w:type="gramEnd"/>
      <w:r w:rsidR="00776104" w:rsidRPr="00F17E37">
        <w:rPr>
          <w:rFonts w:asciiTheme="majorHAnsi" w:hAnsiTheme="majorHAnsi"/>
          <w:bCs/>
        </w:rPr>
        <w:t xml:space="preserve"> Pravilnikom o maksimalnim stopama režijskog dodatka.Njegova namjena i korištenje su određeni Pravilnikom o preventivi.</w:t>
      </w:r>
    </w:p>
    <w:p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 w:rsidRPr="00F17E37">
        <w:rPr>
          <w:rFonts w:asciiTheme="majorHAnsi" w:hAnsiTheme="majorHAnsi"/>
          <w:bCs/>
        </w:rPr>
        <w:t>2.Razgraničeni</w:t>
      </w:r>
      <w:proofErr w:type="gramEnd"/>
      <w:r w:rsidRPr="00F17E37">
        <w:rPr>
          <w:rFonts w:asciiTheme="majorHAnsi" w:hAnsiTheme="majorHAnsi"/>
          <w:bCs/>
        </w:rPr>
        <w:t xml:space="preserve">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 reosiguranja </w:t>
      </w:r>
      <w:r w:rsidR="00EF537F">
        <w:rPr>
          <w:rFonts w:asciiTheme="majorHAnsi" w:hAnsiTheme="majorHAnsi"/>
          <w:bCs/>
        </w:rPr>
        <w:t xml:space="preserve">i saosiguranja </w:t>
      </w:r>
      <w:r w:rsidRPr="00F17E37">
        <w:rPr>
          <w:rFonts w:asciiTheme="majorHAnsi" w:hAnsiTheme="majorHAnsi"/>
          <w:bCs/>
        </w:rPr>
        <w:t xml:space="preserve">u iznosu od </w:t>
      </w:r>
      <w:r w:rsidR="00EF537F">
        <w:rPr>
          <w:rFonts w:asciiTheme="majorHAnsi" w:hAnsiTheme="majorHAnsi"/>
          <w:bCs/>
        </w:rPr>
        <w:t>31.916,24</w:t>
      </w:r>
      <w:r w:rsidR="00F53739" w:rsidRPr="00F17E37">
        <w:rPr>
          <w:rFonts w:asciiTheme="majorHAnsi" w:hAnsiTheme="majorHAnsi"/>
          <w:bCs/>
        </w:rPr>
        <w:t xml:space="preserve"> KM.</w:t>
      </w:r>
    </w:p>
    <w:p w:rsidR="009A51F1" w:rsidRDefault="00EF537F" w:rsidP="00DD206A">
      <w:pPr>
        <w:spacing w:after="0"/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3.Primljeni</w:t>
      </w:r>
      <w:proofErr w:type="gramEnd"/>
      <w:r>
        <w:rPr>
          <w:rFonts w:asciiTheme="majorHAnsi" w:hAnsiTheme="majorHAnsi"/>
          <w:bCs/>
        </w:rPr>
        <w:t xml:space="preserve"> avansi 100 KM.</w:t>
      </w:r>
    </w:p>
    <w:p w:rsidR="009A51F1" w:rsidRDefault="009D502C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Autocentar Nešković doo Bijeljina </w:t>
      </w:r>
      <w:proofErr w:type="gramStart"/>
      <w:r>
        <w:rPr>
          <w:rFonts w:asciiTheme="majorHAnsi" w:hAnsiTheme="majorHAnsi"/>
          <w:bCs/>
        </w:rPr>
        <w:t>na</w:t>
      </w:r>
      <w:proofErr w:type="gramEnd"/>
      <w:r>
        <w:rPr>
          <w:rFonts w:asciiTheme="majorHAnsi" w:hAnsiTheme="majorHAnsi"/>
          <w:bCs/>
        </w:rPr>
        <w:t xml:space="preserve"> vremenskim razgraničenjima vode avnsne facture u iznosu od 252.562KM tako da ukupan iznos za konsolidaciju je 1.704.120 KM.</w:t>
      </w:r>
    </w:p>
    <w:p w:rsidR="00123087" w:rsidRDefault="00123087" w:rsidP="00E47961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:rsidR="00C10839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="00C1083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="00123087">
        <w:rPr>
          <w:rFonts w:asciiTheme="majorHAnsi" w:hAnsiTheme="majorHAnsi"/>
          <w:b/>
          <w:bCs/>
        </w:rPr>
        <w:t>)</w:t>
      </w:r>
    </w:p>
    <w:p w:rsidR="00E47961" w:rsidRPr="00B06D2F" w:rsidRDefault="00E47961" w:rsidP="00E7148F">
      <w:pPr>
        <w:pStyle w:val="Heading2"/>
        <w:numPr>
          <w:ilvl w:val="0"/>
          <w:numId w:val="0"/>
        </w:numPr>
        <w:ind w:left="578" w:hanging="578"/>
      </w:pPr>
      <w:bookmarkStart w:id="34" w:name="_Toc33186095"/>
      <w:r w:rsidRPr="00B06D2F">
        <w:t>Poslovna pasiva</w:t>
      </w:r>
      <w:bookmarkEnd w:id="34"/>
    </w:p>
    <w:p w:rsidR="00E47961" w:rsidRDefault="00E47961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1A54D2">
        <w:rPr>
          <w:rFonts w:asciiTheme="majorHAnsi" w:hAnsiTheme="majorHAnsi"/>
          <w:bCs/>
        </w:rPr>
        <w:t xml:space="preserve">Poslovna pasiva iznosi </w:t>
      </w:r>
      <w:r w:rsidR="00D47B93">
        <w:rPr>
          <w:rFonts w:asciiTheme="majorHAnsi" w:hAnsiTheme="majorHAnsi"/>
          <w:bCs/>
        </w:rPr>
        <w:t>50.060.244KM</w:t>
      </w:r>
      <w:r w:rsidR="00B06D2F" w:rsidRPr="001A54D2">
        <w:rPr>
          <w:rFonts w:asciiTheme="majorHAnsi" w:hAnsiTheme="majorHAnsi"/>
          <w:bCs/>
          <w:sz w:val="24"/>
          <w:szCs w:val="24"/>
        </w:rPr>
        <w:t>.</w:t>
      </w: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Default="007069F9" w:rsidP="007069F9">
      <w:pPr>
        <w:pStyle w:val="Heading1"/>
        <w:numPr>
          <w:ilvl w:val="0"/>
          <w:numId w:val="0"/>
        </w:numPr>
      </w:pPr>
      <w:bookmarkStart w:id="35" w:name="_Toc33186098"/>
      <w:r>
        <w:lastRenderedPageBreak/>
        <w:t>N</w:t>
      </w:r>
      <w:r w:rsidRPr="00923E71">
        <w:t>ote bilansa uspjeha</w:t>
      </w:r>
      <w:bookmarkEnd w:id="35"/>
      <w:r>
        <w:t>-konsolidacija</w:t>
      </w:r>
    </w:p>
    <w:p w:rsidR="007069F9" w:rsidRDefault="007069F9" w:rsidP="007069F9"/>
    <w:p w:rsidR="007069F9" w:rsidRDefault="007069F9" w:rsidP="007069F9">
      <w:r>
        <w:rPr>
          <w:rFonts w:asciiTheme="majorHAnsi" w:hAnsiTheme="majorHAnsi"/>
          <w:lang w:val="sr-Latn-CS"/>
        </w:rPr>
        <w:t xml:space="preserve">       Osnov za  konsolidaciju finansijskih izvještaja čini učešće u kapitalu Nešković osiguranja u kapitalu Autocentar Nešković Bijeljina</w:t>
      </w:r>
    </w:p>
    <w:p w:rsidR="007069F9" w:rsidRDefault="007069F9" w:rsidP="007069F9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 xml:space="preserve">  Društvo za osiguranje, Nešković osiguranje ad Bijeljina, registrovanu djelatnost   obavlja preko sjedišta Društva u Bijeljini ,vlastitom poslovnom mrežom u cijeloj Republici Srpskoj koju čine: 49 šaltera , 4 poslovne jedinice  i sa 8</w:t>
      </w:r>
      <w:r>
        <w:rPr>
          <w:rFonts w:asciiTheme="majorHAnsi" w:hAnsiTheme="majorHAnsi"/>
          <w:lang w:val="sr-Latn-CS"/>
        </w:rPr>
        <w:t>7</w:t>
      </w:r>
      <w:r w:rsidRPr="00F17E37">
        <w:rPr>
          <w:rFonts w:asciiTheme="majorHAnsi" w:hAnsiTheme="majorHAnsi"/>
          <w:lang w:val="sr-Latn-CS"/>
        </w:rPr>
        <w:t xml:space="preserve"> zaposlenih radnika na bazi stanja krajem mjseca. </w:t>
      </w:r>
    </w:p>
    <w:p w:rsidR="007069F9" w:rsidRDefault="007069F9" w:rsidP="007069F9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Autocentar Nešković doo Bijeljina svoju poslovnu aktivnost obavlja preko sjedišta u Bijeljini i poslovne jedinice B.Luka i  Istočno  Sarajevo sa 30 zaposlenih radnika.</w:t>
      </w:r>
    </w:p>
    <w:p w:rsidR="007069F9" w:rsidRPr="008104B6" w:rsidRDefault="007069F9" w:rsidP="007069F9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</w:p>
    <w:p w:rsidR="007069F9" w:rsidRDefault="007069F9" w:rsidP="007069F9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>NOTA 3</w:t>
      </w:r>
      <w:r>
        <w:rPr>
          <w:rFonts w:asciiTheme="majorHAnsi" w:hAnsiTheme="majorHAnsi"/>
          <w:b/>
          <w:u w:val="single"/>
          <w:lang w:val="sr-Latn-CS"/>
        </w:rPr>
        <w:t>5</w:t>
      </w:r>
      <w:r w:rsidRPr="007C2990">
        <w:rPr>
          <w:rFonts w:asciiTheme="majorHAnsi" w:hAnsiTheme="majorHAnsi"/>
          <w:b/>
          <w:u w:val="single"/>
          <w:lang w:val="sr-Latn-CS"/>
        </w:rPr>
        <w:t>(AOP 201)</w:t>
      </w:r>
      <w:r>
        <w:rPr>
          <w:rFonts w:asciiTheme="majorHAnsi" w:hAnsiTheme="majorHAnsi"/>
          <w:b/>
          <w:u w:val="single"/>
          <w:lang w:val="sr-Latn-CS"/>
        </w:rPr>
        <w:t xml:space="preserve"> </w:t>
      </w:r>
    </w:p>
    <w:p w:rsidR="007069F9" w:rsidRDefault="007069F9" w:rsidP="007069F9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7069F9" w:rsidRPr="00E92A7F" w:rsidRDefault="007069F9" w:rsidP="007069F9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E92A7F">
        <w:rPr>
          <w:rFonts w:asciiTheme="majorHAnsi" w:hAnsiTheme="majorHAnsi"/>
          <w:lang w:val="sr-Latn-CS"/>
        </w:rPr>
        <w:t xml:space="preserve">       </w:t>
      </w:r>
      <w:bookmarkStart w:id="36" w:name="_Toc33186099"/>
      <w:r w:rsidRPr="00E92A7F">
        <w:rPr>
          <w:rFonts w:asciiTheme="majorHAnsi" w:hAnsiTheme="majorHAnsi"/>
          <w:b/>
          <w:lang w:val="sr-Latn-CS"/>
        </w:rPr>
        <w:t>Poslovni prihodi</w:t>
      </w:r>
      <w:bookmarkEnd w:id="36"/>
    </w:p>
    <w:p w:rsidR="007069F9" w:rsidRPr="00E92A7F" w:rsidRDefault="007069F9" w:rsidP="007069F9">
      <w:pPr>
        <w:spacing w:after="0"/>
        <w:rPr>
          <w:rFonts w:asciiTheme="majorHAnsi" w:hAnsiTheme="majorHAnsi"/>
          <w:lang w:val="sr-Latn-CS"/>
        </w:rPr>
      </w:pPr>
      <w:r w:rsidRPr="00E92A7F">
        <w:rPr>
          <w:rFonts w:asciiTheme="majorHAnsi" w:hAnsiTheme="majorHAnsi"/>
          <w:lang w:val="sr-Latn-CS"/>
        </w:rPr>
        <w:t>Nešković osiguranje ad Bijeljina          17.988.866- 75.323</w:t>
      </w:r>
    </w:p>
    <w:p w:rsidR="007069F9" w:rsidRPr="00E92A7F" w:rsidRDefault="007069F9" w:rsidP="007069F9">
      <w:pPr>
        <w:spacing w:after="0"/>
        <w:rPr>
          <w:rFonts w:asciiTheme="majorHAnsi" w:hAnsiTheme="majorHAnsi"/>
          <w:u w:val="single"/>
          <w:lang w:val="sr-Latn-CS"/>
        </w:rPr>
      </w:pPr>
      <w:r w:rsidRPr="00E92A7F">
        <w:rPr>
          <w:rFonts w:asciiTheme="majorHAnsi" w:hAnsiTheme="majorHAnsi"/>
          <w:u w:val="single"/>
          <w:lang w:val="sr-Latn-CS"/>
        </w:rPr>
        <w:t>Autocentar Nešković doo Bijeljina      10.143,672- 15.574</w:t>
      </w:r>
    </w:p>
    <w:p w:rsidR="007069F9" w:rsidRPr="00E92A7F" w:rsidRDefault="007069F9" w:rsidP="007069F9">
      <w:pPr>
        <w:spacing w:after="0"/>
        <w:rPr>
          <w:rFonts w:asciiTheme="majorHAnsi" w:hAnsiTheme="majorHAnsi"/>
          <w:lang w:val="sr-Latn-CS"/>
        </w:rPr>
      </w:pPr>
      <w:r w:rsidRPr="00E92A7F">
        <w:rPr>
          <w:rFonts w:asciiTheme="majorHAnsi" w:hAnsiTheme="majorHAnsi"/>
          <w:lang w:val="sr-Latn-CS"/>
        </w:rPr>
        <w:t xml:space="preserve">                                                                   28.132.538-90.897=28.041.641KM</w:t>
      </w:r>
    </w:p>
    <w:p w:rsidR="007069F9" w:rsidRPr="00E92A7F" w:rsidRDefault="007069F9" w:rsidP="007069F9">
      <w:pPr>
        <w:spacing w:after="0"/>
        <w:rPr>
          <w:rFonts w:asciiTheme="majorHAnsi" w:hAnsiTheme="majorHAnsi"/>
          <w:lang w:val="sr-Latn-CS"/>
        </w:rPr>
      </w:pPr>
      <w:r w:rsidRPr="00E92A7F">
        <w:rPr>
          <w:rFonts w:asciiTheme="majorHAnsi" w:hAnsiTheme="majorHAnsi"/>
          <w:lang w:val="sr-Latn-CS"/>
        </w:rPr>
        <w:t xml:space="preserve">Poslovni prihodi u Društvu su umanjeni za prihode po osnovu inernih odnosa i to od prodaje polisa 28.901KM,za prihode od zakupa  i zelene karte 46.422 ,a kod Autocentra prihod od robe i učinaka 15.574KM. 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</w:p>
    <w:p w:rsidR="007069F9" w:rsidRPr="007C61AE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7C61AE">
        <w:rPr>
          <w:rFonts w:asciiTheme="majorHAnsi" w:hAnsiTheme="majorHAnsi"/>
          <w:b/>
          <w:u w:val="single"/>
          <w:lang w:val="sr-Latn-CS"/>
        </w:rPr>
        <w:t>NOTA</w:t>
      </w:r>
      <w:r>
        <w:rPr>
          <w:rFonts w:asciiTheme="majorHAnsi" w:hAnsiTheme="majorHAnsi"/>
          <w:b/>
          <w:u w:val="single"/>
          <w:lang w:val="sr-Latn-CS"/>
        </w:rPr>
        <w:t xml:space="preserve"> </w:t>
      </w:r>
      <w:r w:rsidRPr="007C61AE">
        <w:rPr>
          <w:rFonts w:asciiTheme="majorHAnsi" w:hAnsiTheme="majorHAnsi"/>
          <w:b/>
          <w:u w:val="single"/>
          <w:lang w:val="sr-Latn-CS"/>
        </w:rPr>
        <w:t>3</w:t>
      </w:r>
      <w:r>
        <w:rPr>
          <w:rFonts w:asciiTheme="majorHAnsi" w:hAnsiTheme="majorHAnsi"/>
          <w:b/>
          <w:u w:val="single"/>
          <w:lang w:val="sr-Latn-CS"/>
        </w:rPr>
        <w:t>6</w:t>
      </w:r>
      <w:r w:rsidRPr="007C61AE">
        <w:rPr>
          <w:rFonts w:asciiTheme="majorHAnsi" w:hAnsiTheme="majorHAnsi"/>
          <w:b/>
          <w:u w:val="single"/>
          <w:lang w:val="sr-Latn-CS"/>
        </w:rPr>
        <w:t xml:space="preserve"> (AOP208)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Mjerodavna premija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</w:p>
    <w:p w:rsidR="007069F9" w:rsidRPr="00F04931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04931">
        <w:rPr>
          <w:rFonts w:asciiTheme="majorHAnsi" w:hAnsiTheme="majorHAnsi"/>
          <w:lang w:val="sr-Latn-CS"/>
        </w:rPr>
        <w:t xml:space="preserve">Mjerodavna premija Društva u iznosu od </w:t>
      </w:r>
      <w:r>
        <w:rPr>
          <w:rFonts w:asciiTheme="majorHAnsi" w:hAnsiTheme="majorHAnsi"/>
          <w:lang w:val="sr-Latn-CS"/>
        </w:rPr>
        <w:t>16.533.226 KM je umanjena za prihod od premije Autocentra Nešković  u iznosu od 28.901 KM i u konsolidaciji iznosi 16.504.325 KM,</w:t>
      </w:r>
    </w:p>
    <w:p w:rsidR="007069F9" w:rsidRPr="00F04931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7069F9" w:rsidRPr="007C61AE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7C61AE">
        <w:rPr>
          <w:rFonts w:asciiTheme="majorHAnsi" w:hAnsiTheme="majorHAnsi"/>
          <w:b/>
          <w:u w:val="single"/>
          <w:lang w:val="sr-Latn-CS"/>
        </w:rPr>
        <w:t>NOTA 3</w:t>
      </w:r>
      <w:r>
        <w:rPr>
          <w:rFonts w:asciiTheme="majorHAnsi" w:hAnsiTheme="majorHAnsi"/>
          <w:b/>
          <w:u w:val="single"/>
          <w:lang w:val="sr-Latn-CS"/>
        </w:rPr>
        <w:t>7</w:t>
      </w:r>
      <w:r w:rsidRPr="007C61AE">
        <w:rPr>
          <w:rFonts w:asciiTheme="majorHAnsi" w:hAnsiTheme="majorHAnsi"/>
          <w:b/>
          <w:u w:val="single"/>
          <w:lang w:val="sr-Latn-CS"/>
        </w:rPr>
        <w:t>(AOP 209)</w:t>
      </w:r>
    </w:p>
    <w:p w:rsidR="007069F9" w:rsidRPr="00FD3A74" w:rsidRDefault="007069F9" w:rsidP="007069F9">
      <w:pPr>
        <w:pStyle w:val="Heading2"/>
        <w:numPr>
          <w:ilvl w:val="0"/>
          <w:numId w:val="0"/>
        </w:numPr>
      </w:pPr>
      <w:bookmarkStart w:id="37" w:name="_Toc33186101"/>
      <w:r w:rsidRPr="00FD3A74">
        <w:t>Priho</w:t>
      </w:r>
      <w:r>
        <w:t>d</w:t>
      </w:r>
      <w:r w:rsidRPr="00FD3A74">
        <w:t>i po osovu učešća reosiguravača u likvidiranim štetama</w:t>
      </w:r>
      <w:bookmarkEnd w:id="37"/>
    </w:p>
    <w:p w:rsidR="007069F9" w:rsidRPr="00F17E37" w:rsidRDefault="007069F9" w:rsidP="007069F9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Prihod </w:t>
      </w:r>
      <w:r>
        <w:rPr>
          <w:rFonts w:asciiTheme="majorHAnsi" w:hAnsiTheme="majorHAnsi"/>
          <w:lang w:val="sr-Latn-CS"/>
        </w:rPr>
        <w:t xml:space="preserve"> Društva </w:t>
      </w:r>
      <w:r w:rsidRPr="00F17E37">
        <w:rPr>
          <w:rFonts w:asciiTheme="majorHAnsi" w:hAnsiTheme="majorHAnsi"/>
          <w:lang w:val="sr-Latn-CS"/>
        </w:rPr>
        <w:t xml:space="preserve">po osnovu učešća reosiguravača u likvidiranim štetama iznosi </w:t>
      </w:r>
      <w:r>
        <w:rPr>
          <w:rFonts w:asciiTheme="majorHAnsi" w:hAnsiTheme="majorHAnsi"/>
          <w:lang w:val="sr-Latn-CS"/>
        </w:rPr>
        <w:t>264.933KM.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38</w:t>
      </w:r>
      <w:r w:rsidRPr="00F17E37">
        <w:rPr>
          <w:rFonts w:asciiTheme="majorHAnsi" w:hAnsiTheme="majorHAnsi"/>
          <w:b/>
          <w:u w:val="single"/>
          <w:lang w:val="sr-Latn-CS"/>
        </w:rPr>
        <w:t>(AOP</w:t>
      </w:r>
      <w:bookmarkStart w:id="38" w:name="_Toc33186102"/>
      <w:r>
        <w:rPr>
          <w:rFonts w:asciiTheme="majorHAnsi" w:hAnsiTheme="majorHAnsi"/>
          <w:b/>
          <w:u w:val="single"/>
          <w:lang w:val="sr-Latn-CS"/>
        </w:rPr>
        <w:t xml:space="preserve"> 211)</w:t>
      </w:r>
    </w:p>
    <w:p w:rsidR="007069F9" w:rsidRPr="00E92A7F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:rsidR="007069F9" w:rsidRPr="00E92A7F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E92A7F">
        <w:rPr>
          <w:b/>
        </w:rPr>
        <w:t>Prihodi od povrata poreskih dadžbina</w:t>
      </w:r>
      <w:proofErr w:type="gramStart"/>
      <w:r w:rsidRPr="00E92A7F">
        <w:rPr>
          <w:b/>
        </w:rPr>
        <w:t>,subvencija,dotacija,donacija</w:t>
      </w:r>
      <w:proofErr w:type="gramEnd"/>
      <w:r w:rsidRPr="00E92A7F">
        <w:rPr>
          <w:b/>
        </w:rPr>
        <w:t xml:space="preserve"> i sl.</w:t>
      </w:r>
      <w:bookmarkEnd w:id="38"/>
    </w:p>
    <w:p w:rsidR="007069F9" w:rsidRPr="00F17E37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>
        <w:rPr>
          <w:rFonts w:asciiTheme="majorHAnsi" w:hAnsiTheme="majorHAnsi"/>
          <w:lang w:val="sr-Latn-CS"/>
        </w:rPr>
        <w:t>U 2019.g. na navedenoj poziciji nisu evidentirani prihodi po navedenom osnovu.</w:t>
      </w:r>
    </w:p>
    <w:p w:rsidR="007069F9" w:rsidRPr="00F17E37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39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  <w:bookmarkStart w:id="39" w:name="_Toc33186103"/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</w:p>
    <w:p w:rsidR="007069F9" w:rsidRPr="007C61AE" w:rsidRDefault="007069F9" w:rsidP="007069F9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7C61AE">
        <w:rPr>
          <w:b/>
        </w:rPr>
        <w:t>Drugi poslovni prihodi</w:t>
      </w:r>
      <w:bookmarkEnd w:id="39"/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</w:t>
      </w:r>
      <w:r>
        <w:rPr>
          <w:rFonts w:asciiTheme="majorHAnsi" w:hAnsiTheme="majorHAnsi"/>
          <w:lang w:val="sr-Latn-CS"/>
        </w:rPr>
        <w:t xml:space="preserve">Drugi poslovni prihodi:regresi,zakupi,po osnovu zelene karte,uslužnim zapisnicima,otkupa šteta: 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Nešković osiguranje                    1.190.707-46.422</w:t>
      </w:r>
    </w:p>
    <w:p w:rsidR="007069F9" w:rsidRPr="00F17E37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Autocentar Nešković doo         </w:t>
      </w:r>
      <w:r w:rsidRPr="00E92A7F">
        <w:rPr>
          <w:rFonts w:asciiTheme="majorHAnsi" w:hAnsiTheme="majorHAnsi"/>
          <w:u w:val="single"/>
          <w:lang w:val="sr-Latn-CS"/>
        </w:rPr>
        <w:t>10.143.672-15.574</w:t>
      </w:r>
    </w:p>
    <w:p w:rsidR="007069F9" w:rsidRDefault="007069F9" w:rsidP="007069F9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                                                11.334.379-61.996=11.272.383</w:t>
      </w:r>
    </w:p>
    <w:p w:rsidR="007069F9" w:rsidRDefault="007069F9" w:rsidP="007069F9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Za iznos prihoda po osnovu zakupa i zelene karte 46.422 KM,su umanjeni ostali prihodi Društva a za iznos 15.574KM je umanjen prihod Autocenta Nešković po osnovu prodaje robe i učinaka.                                                </w:t>
      </w:r>
    </w:p>
    <w:p w:rsidR="007069F9" w:rsidRPr="00152532" w:rsidRDefault="007069F9" w:rsidP="007069F9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</w:p>
    <w:p w:rsidR="007069F9" w:rsidRDefault="007069F9" w:rsidP="007069F9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 xml:space="preserve">NOTA </w:t>
      </w:r>
      <w:r>
        <w:rPr>
          <w:rFonts w:asciiTheme="majorHAnsi" w:hAnsiTheme="majorHAnsi"/>
          <w:b/>
          <w:u w:val="single"/>
          <w:lang w:val="sr-Latn-CS"/>
        </w:rPr>
        <w:t>40</w:t>
      </w:r>
      <w:r w:rsidRPr="00032986">
        <w:rPr>
          <w:rFonts w:asciiTheme="majorHAnsi" w:hAnsiTheme="majorHAnsi"/>
          <w:b/>
          <w:u w:val="single"/>
          <w:lang w:val="sr-Latn-CS"/>
        </w:rPr>
        <w:t>(AOP 213</w:t>
      </w:r>
      <w:r w:rsidRPr="00152532">
        <w:rPr>
          <w:rFonts w:asciiTheme="majorHAnsi" w:hAnsiTheme="majorHAnsi"/>
          <w:lang w:val="sr-Latn-CS"/>
        </w:rPr>
        <w:t xml:space="preserve">) </w:t>
      </w:r>
    </w:p>
    <w:p w:rsidR="007069F9" w:rsidRDefault="007069F9" w:rsidP="007069F9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:rsidR="007069F9" w:rsidRPr="00CC5096" w:rsidRDefault="007069F9" w:rsidP="007069F9">
      <w:pPr>
        <w:pStyle w:val="NoSpacing"/>
        <w:spacing w:after="240" w:line="240" w:lineRule="auto"/>
        <w:rPr>
          <w:rFonts w:asciiTheme="majorHAnsi" w:hAnsiTheme="majorHAnsi"/>
          <w:b/>
          <w:lang w:val="sr-Latn-CS"/>
        </w:rPr>
      </w:pPr>
      <w:r w:rsidRPr="00CC5096">
        <w:rPr>
          <w:b/>
          <w:lang w:val="sr-Latn-CS"/>
        </w:rPr>
        <w:t xml:space="preserve">   </w:t>
      </w:r>
      <w:bookmarkStart w:id="40" w:name="_Toc33186104"/>
      <w:r w:rsidRPr="00CC5096">
        <w:rPr>
          <w:b/>
          <w:lang w:val="sr-Latn-CS"/>
        </w:rPr>
        <w:t>Poslovni rashodi</w:t>
      </w:r>
      <w:bookmarkEnd w:id="40"/>
    </w:p>
    <w:p w:rsidR="007069F9" w:rsidRPr="00FD3A74" w:rsidRDefault="007069F9" w:rsidP="007069F9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D3A74">
        <w:rPr>
          <w:rFonts w:asciiTheme="majorHAnsi" w:hAnsiTheme="majorHAnsi"/>
          <w:lang w:val="sr-Latn-CS"/>
        </w:rPr>
        <w:t xml:space="preserve">Poslovni rashodi društva iznose </w:t>
      </w:r>
      <w:r>
        <w:rPr>
          <w:rFonts w:asciiTheme="majorHAnsi" w:hAnsiTheme="majorHAnsi"/>
          <w:lang w:val="sr-Latn-CS"/>
        </w:rPr>
        <w:t>19.544.157</w:t>
      </w:r>
      <w:r w:rsidRPr="00FD3A74">
        <w:rPr>
          <w:rFonts w:asciiTheme="majorHAnsi" w:hAnsiTheme="majorHAnsi"/>
          <w:lang w:val="sr-Latn-CS"/>
        </w:rPr>
        <w:t>a čine ih:</w:t>
      </w:r>
    </w:p>
    <w:p w:rsidR="007069F9" w:rsidRDefault="007069F9" w:rsidP="007069F9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:rsidR="007069F9" w:rsidRPr="00F17E37" w:rsidRDefault="007069F9" w:rsidP="007069F9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b/>
          <w:u w:val="single"/>
          <w:lang w:val="sr-Latn-CS"/>
        </w:rPr>
        <w:t>NOTA 41</w:t>
      </w:r>
      <w:r w:rsidRPr="00F17E37">
        <w:rPr>
          <w:rFonts w:asciiTheme="majorHAnsi" w:hAnsiTheme="majorHAnsi"/>
          <w:b/>
          <w:u w:val="single"/>
          <w:lang w:val="sr-Latn-CS"/>
        </w:rPr>
        <w:t xml:space="preserve"> (AOP 215</w:t>
      </w:r>
      <w:r>
        <w:rPr>
          <w:rFonts w:asciiTheme="majorHAnsi" w:hAnsiTheme="majorHAnsi"/>
          <w:lang w:val="sr-Latn-CS"/>
        </w:rPr>
        <w:t>)</w:t>
      </w:r>
    </w:p>
    <w:p w:rsidR="007069F9" w:rsidRPr="00FD3A74" w:rsidRDefault="007069F9" w:rsidP="007069F9">
      <w:pPr>
        <w:pStyle w:val="Heading2"/>
      </w:pPr>
      <w:bookmarkStart w:id="41" w:name="_Toc33186105"/>
      <w:r w:rsidRPr="00FD3A74">
        <w:t>Funkcionalni rashodi</w:t>
      </w:r>
      <w:bookmarkEnd w:id="41"/>
    </w:p>
    <w:p w:rsidR="007069F9" w:rsidRPr="00F17E37" w:rsidRDefault="007069F9" w:rsidP="007069F9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 Funkcionalni doprinosi po vrsti i iznosu:</w:t>
      </w:r>
    </w:p>
    <w:tbl>
      <w:tblPr>
        <w:tblW w:w="6234" w:type="dxa"/>
        <w:tblInd w:w="93" w:type="dxa"/>
        <w:tblLook w:val="04A0" w:firstRow="1" w:lastRow="0" w:firstColumn="1" w:lastColumn="0" w:noHBand="0" w:noVBand="1"/>
      </w:tblPr>
      <w:tblGrid>
        <w:gridCol w:w="3416"/>
        <w:gridCol w:w="804"/>
        <w:gridCol w:w="423"/>
        <w:gridCol w:w="262"/>
        <w:gridCol w:w="1329"/>
      </w:tblGrid>
      <w:tr w:rsidR="007069F9" w:rsidRPr="00F17E37" w:rsidTr="00CB1E1D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7069F9" w:rsidRPr="00F17E37" w:rsidTr="00CB1E1D">
        <w:trPr>
          <w:trHeight w:val="15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Doprinos za preventivu 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26.217,81</w:t>
            </w:r>
          </w:p>
        </w:tc>
      </w:tr>
      <w:tr w:rsidR="007069F9" w:rsidRPr="00F17E37" w:rsidTr="00CB1E1D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Vatrogasni doprinos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7.195,55</w:t>
            </w:r>
          </w:p>
        </w:tc>
      </w:tr>
      <w:tr w:rsidR="007069F9" w:rsidRPr="00F17E37" w:rsidTr="00CB1E1D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Zaštitnom fondu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168.481,20</w:t>
            </w:r>
          </w:p>
        </w:tc>
      </w:tr>
      <w:tr w:rsidR="007069F9" w:rsidRPr="00F17E37" w:rsidTr="00CB1E1D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Doprinos za naknadu šteta BZK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13.500,00</w:t>
            </w:r>
          </w:p>
        </w:tc>
      </w:tr>
      <w:tr w:rsidR="007069F9" w:rsidRPr="00F17E37" w:rsidTr="00CB1E1D">
        <w:trPr>
          <w:trHeight w:val="273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Dodatna sredstva preventive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na ao do15.10.2018.g.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069F9" w:rsidRPr="00F17E37" w:rsidTr="00CB1E1D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Protivgradna zaštita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46.089,76</w:t>
            </w:r>
          </w:p>
        </w:tc>
      </w:tr>
      <w:tr w:rsidR="007069F9" w:rsidRPr="00F17E37" w:rsidTr="00CB1E1D">
        <w:trPr>
          <w:trHeight w:val="273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Provizija za PZO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15.145,19</w:t>
            </w:r>
          </w:p>
        </w:tc>
      </w:tr>
      <w:tr w:rsidR="007069F9" w:rsidRPr="00F17E37" w:rsidTr="00CB1E1D">
        <w:trPr>
          <w:trHeight w:val="273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1F713B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1F713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276.629,51</w:t>
            </w:r>
          </w:p>
        </w:tc>
      </w:tr>
    </w:tbl>
    <w:p w:rsidR="007069F9" w:rsidRDefault="007069F9" w:rsidP="007069F9">
      <w:pPr>
        <w:pStyle w:val="NoSpacing"/>
        <w:spacing w:line="276" w:lineRule="auto"/>
        <w:jc w:val="both"/>
        <w:rPr>
          <w:rFonts w:asciiTheme="majorHAnsi" w:hAnsiTheme="majorHAnsi"/>
        </w:rPr>
      </w:pPr>
      <w:bookmarkStart w:id="42" w:name="OLE_LINK9"/>
      <w:r w:rsidRPr="00F17E37">
        <w:rPr>
          <w:rFonts w:asciiTheme="majorHAnsi" w:hAnsiTheme="majorHAnsi"/>
        </w:rPr>
        <w:t xml:space="preserve">         </w:t>
      </w:r>
    </w:p>
    <w:bookmarkEnd w:id="42"/>
    <w:p w:rsidR="007069F9" w:rsidRPr="00F17E37" w:rsidRDefault="007069F9" w:rsidP="007069F9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42</w:t>
      </w:r>
      <w:r w:rsidRPr="00F17E37">
        <w:rPr>
          <w:rFonts w:asciiTheme="majorHAnsi" w:hAnsiTheme="majorHAnsi"/>
          <w:b/>
          <w:u w:val="single"/>
        </w:rPr>
        <w:t>(AOP232)</w:t>
      </w:r>
    </w:p>
    <w:p w:rsidR="007069F9" w:rsidRPr="00FD3A74" w:rsidRDefault="007069F9" w:rsidP="007069F9">
      <w:pPr>
        <w:pStyle w:val="Heading2"/>
      </w:pPr>
      <w:bookmarkStart w:id="43" w:name="_Toc33186106"/>
      <w:proofErr w:type="gramStart"/>
      <w:r w:rsidRPr="00FD3A74">
        <w:t>Troškovi  šteta</w:t>
      </w:r>
      <w:bookmarkEnd w:id="43"/>
      <w:proofErr w:type="gramEnd"/>
    </w:p>
    <w:tbl>
      <w:tblPr>
        <w:tblW w:w="6354" w:type="dxa"/>
        <w:tblLook w:val="04A0" w:firstRow="1" w:lastRow="0" w:firstColumn="1" w:lastColumn="0" w:noHBand="0" w:noVBand="1"/>
      </w:tblPr>
      <w:tblGrid>
        <w:gridCol w:w="2775"/>
        <w:gridCol w:w="1453"/>
        <w:gridCol w:w="2126"/>
      </w:tblGrid>
      <w:tr w:rsidR="007069F9" w:rsidRPr="00820059" w:rsidTr="00CB1E1D">
        <w:trPr>
          <w:trHeight w:val="272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r w:rsidRPr="00820059">
              <w:t>Vrsta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67.681,60     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pzo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9.880,18     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802.801,58     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3.582.318,73     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im.osig.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48.013,27     </w:t>
            </w:r>
          </w:p>
        </w:tc>
      </w:tr>
      <w:tr w:rsidR="007069F9" w:rsidRPr="00820059" w:rsidTr="00CB1E1D">
        <w:trPr>
          <w:trHeight w:val="272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37.346,95     </w:t>
            </w:r>
          </w:p>
        </w:tc>
      </w:tr>
      <w:tr w:rsidR="007069F9" w:rsidRPr="00820059" w:rsidTr="00CB1E1D">
        <w:trPr>
          <w:trHeight w:val="2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820059" w:rsidRDefault="007069F9" w:rsidP="00CB1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4.548.042,31     </w:t>
            </w:r>
          </w:p>
        </w:tc>
      </w:tr>
    </w:tbl>
    <w:p w:rsidR="007069F9" w:rsidRPr="00F17E37" w:rsidRDefault="007069F9" w:rsidP="007069F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</w:p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Troškovi šteta su umanjeni za 302KM za štetu koja je isplaćena </w:t>
      </w:r>
      <w:proofErr w:type="gramStart"/>
      <w:r>
        <w:rPr>
          <w:rFonts w:asciiTheme="majorHAnsi" w:hAnsiTheme="majorHAnsi"/>
        </w:rPr>
        <w:t>Autocentru  Nešković</w:t>
      </w:r>
      <w:proofErr w:type="gramEnd"/>
      <w:r>
        <w:rPr>
          <w:rFonts w:asciiTheme="majorHAnsi" w:hAnsiTheme="majorHAnsi"/>
        </w:rPr>
        <w:t xml:space="preserve"> pa je za konsolidaciju iznos šteta 4.547.740KM.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43</w:t>
      </w:r>
      <w:r w:rsidRPr="00F17E37">
        <w:rPr>
          <w:rFonts w:asciiTheme="majorHAnsi" w:hAnsiTheme="majorHAnsi"/>
          <w:b/>
          <w:u w:val="single"/>
        </w:rPr>
        <w:t xml:space="preserve"> (AOP 233)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:rsidR="007069F9" w:rsidRPr="00FD3A74" w:rsidRDefault="007069F9" w:rsidP="007069F9">
      <w:pPr>
        <w:pStyle w:val="Heading2"/>
      </w:pPr>
      <w:bookmarkStart w:id="44" w:name="_Toc33186107"/>
      <w:r w:rsidRPr="00FD3A74">
        <w:lastRenderedPageBreak/>
        <w:t xml:space="preserve">Rashodi po osnovu </w:t>
      </w:r>
      <w:proofErr w:type="gramStart"/>
      <w:r w:rsidRPr="00FD3A74">
        <w:t>premije  i</w:t>
      </w:r>
      <w:proofErr w:type="gramEnd"/>
      <w:r w:rsidRPr="00FD3A74">
        <w:t xml:space="preserve"> provizije saosig.reosiguranja i retroc.než.os.</w:t>
      </w:r>
      <w:bookmarkEnd w:id="44"/>
    </w:p>
    <w:tbl>
      <w:tblPr>
        <w:tblW w:w="9331" w:type="dxa"/>
        <w:tblInd w:w="93" w:type="dxa"/>
        <w:tblLook w:val="04A0" w:firstRow="1" w:lastRow="0" w:firstColumn="1" w:lastColumn="0" w:noHBand="0" w:noVBand="1"/>
      </w:tblPr>
      <w:tblGrid>
        <w:gridCol w:w="2756"/>
        <w:gridCol w:w="902"/>
        <w:gridCol w:w="640"/>
        <w:gridCol w:w="1373"/>
        <w:gridCol w:w="1278"/>
        <w:gridCol w:w="1254"/>
        <w:gridCol w:w="1128"/>
      </w:tblGrid>
      <w:tr w:rsidR="007069F9" w:rsidRPr="00F17E37" w:rsidTr="00CB1E1D">
        <w:trPr>
          <w:trHeight w:val="23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3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240.069,56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trHeight w:val="235"/>
        </w:trPr>
        <w:tc>
          <w:tcPr>
            <w:tcW w:w="42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416.636,30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premije saosiguranja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2.927,16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trHeight w:val="235"/>
        </w:trPr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Ukupni rashodi reosiguranja: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659.633,02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trHeight w:val="235"/>
        </w:trPr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i saosiguranja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sz w:val="18"/>
                <w:szCs w:val="18"/>
              </w:rPr>
              <w:t>26.365,53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trHeight w:val="235"/>
        </w:trPr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685.998,55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F17E3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AOP 233 na stavci rashoda uključena je i provizija saosiguranja</w:t>
      </w:r>
      <w:proofErr w:type="gramStart"/>
      <w:r>
        <w:rPr>
          <w:rFonts w:asciiTheme="majorHAnsi" w:hAnsiTheme="majorHAnsi"/>
        </w:rPr>
        <w:t>,gdje</w:t>
      </w:r>
      <w:proofErr w:type="gramEnd"/>
      <w:r>
        <w:rPr>
          <w:rFonts w:asciiTheme="majorHAnsi" w:hAnsiTheme="majorHAnsi"/>
        </w:rPr>
        <w:t xml:space="preserve"> smo mi prateći saosiguravači u iznosu 834,89 KM i konačan obračun provizije kasko u iznosu od 12.803,15 KM,tako da je na aop 233 ukupan iznos troška 699.636,59 KM.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44</w:t>
      </w:r>
      <w:r w:rsidRPr="00F17E37">
        <w:rPr>
          <w:rFonts w:asciiTheme="majorHAnsi" w:hAnsiTheme="majorHAnsi"/>
          <w:b/>
          <w:u w:val="single"/>
        </w:rPr>
        <w:t>(AOP 235)</w:t>
      </w:r>
    </w:p>
    <w:p w:rsidR="007069F9" w:rsidRPr="00FD3A74" w:rsidRDefault="007069F9" w:rsidP="007069F9">
      <w:pPr>
        <w:pStyle w:val="Heading2"/>
      </w:pPr>
      <w:bookmarkStart w:id="45" w:name="_Toc33186108"/>
      <w:r w:rsidRPr="00FD3A74">
        <w:t>Troškovi rezervacije šteta</w:t>
      </w:r>
      <w:bookmarkEnd w:id="45"/>
    </w:p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Rezervacija šteta je urađena prema Pravilniku o rezervacijama šteta.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iznosu razlike rezervacija šteta na početku i na kraju obračunskog perioda terećeni </w:t>
      </w:r>
      <w:proofErr w:type="gramStart"/>
      <w:r w:rsidRPr="00F17E37">
        <w:rPr>
          <w:rFonts w:asciiTheme="majorHAnsi" w:hAnsiTheme="majorHAnsi"/>
        </w:rPr>
        <w:t>su  poslovni</w:t>
      </w:r>
      <w:proofErr w:type="gramEnd"/>
      <w:r w:rsidRPr="00F17E37">
        <w:rPr>
          <w:rFonts w:asciiTheme="majorHAnsi" w:hAnsiTheme="majorHAnsi"/>
        </w:rPr>
        <w:t xml:space="preserve"> rashodi po osnovu rezervacija šteta u iznosu od </w:t>
      </w:r>
      <w:r>
        <w:rPr>
          <w:rFonts w:asciiTheme="majorHAnsi" w:hAnsiTheme="majorHAnsi"/>
        </w:rPr>
        <w:t>1.113.188,75</w:t>
      </w:r>
      <w:r w:rsidRPr="00F17E37">
        <w:rPr>
          <w:rFonts w:asciiTheme="majorHAnsi" w:hAnsiTheme="majorHAnsi"/>
        </w:rPr>
        <w:t xml:space="preserve"> KM.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760"/>
        <w:gridCol w:w="896"/>
        <w:gridCol w:w="640"/>
        <w:gridCol w:w="1039"/>
        <w:gridCol w:w="1355"/>
        <w:gridCol w:w="1413"/>
        <w:gridCol w:w="1401"/>
      </w:tblGrid>
      <w:tr w:rsidR="007069F9" w:rsidRPr="00F17E37" w:rsidTr="00CB1E1D">
        <w:trPr>
          <w:trHeight w:val="28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069F9" w:rsidRPr="00F17E37" w:rsidTr="00CB1E1D">
        <w:trPr>
          <w:trHeight w:val="287"/>
        </w:trPr>
        <w:tc>
          <w:tcPr>
            <w:tcW w:w="5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nezgode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62.419,26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47.669,41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14.749,85</w:t>
            </w:r>
          </w:p>
        </w:tc>
      </w:tr>
      <w:tr w:rsidR="007069F9" w:rsidRPr="00F17E37" w:rsidTr="00CB1E1D">
        <w:trPr>
          <w:trHeight w:val="287"/>
        </w:trPr>
        <w:tc>
          <w:tcPr>
            <w:tcW w:w="4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PZO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15.921,40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16.106,40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-185,00</w:t>
            </w:r>
          </w:p>
        </w:tc>
      </w:tr>
      <w:tr w:rsidR="007069F9" w:rsidRPr="00F17E37" w:rsidTr="00CB1E1D">
        <w:trPr>
          <w:trHeight w:val="287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 po osnovu kaska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362.391,81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302.921,91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59.469,90</w:t>
            </w:r>
          </w:p>
        </w:tc>
      </w:tr>
      <w:tr w:rsidR="007069F9" w:rsidRPr="00F17E37" w:rsidTr="00CB1E1D">
        <w:trPr>
          <w:trHeight w:val="273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AO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6.517.608,24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8.378.761,87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ind w:left="-263" w:right="-108" w:firstLine="263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-1.861.153,63</w:t>
            </w:r>
          </w:p>
        </w:tc>
      </w:tr>
      <w:tr w:rsidR="007069F9" w:rsidRPr="00F17E37" w:rsidTr="00CB1E1D">
        <w:trPr>
          <w:trHeight w:val="273"/>
        </w:trPr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Rezervacija po osnovu imovine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3.025.492,71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125.185,08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2.900.307,63</w:t>
            </w:r>
          </w:p>
        </w:tc>
      </w:tr>
      <w:tr w:rsidR="007069F9" w:rsidRPr="00F17E37" w:rsidTr="00CB1E1D">
        <w:trPr>
          <w:trHeight w:val="273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9.983.833,42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8.870.644,67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1.113.188,75</w:t>
            </w:r>
          </w:p>
        </w:tc>
      </w:tr>
    </w:tbl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     </w:t>
      </w:r>
      <w:r w:rsidRPr="00F17E37">
        <w:rPr>
          <w:rFonts w:asciiTheme="majorHAnsi" w:hAnsiTheme="majorHAnsi"/>
        </w:rPr>
        <w:t xml:space="preserve"> Rezervacija šteta se sastoji iz rezervacije prijavljenih šteta u iznosu od </w:t>
      </w:r>
      <w:r>
        <w:rPr>
          <w:rFonts w:asciiTheme="majorHAnsi" w:hAnsiTheme="majorHAnsi"/>
        </w:rPr>
        <w:t>2.134.694,54</w:t>
      </w:r>
      <w:r w:rsidRPr="00F17E37">
        <w:rPr>
          <w:rFonts w:asciiTheme="majorHAnsi" w:hAnsiTheme="majorHAnsi"/>
        </w:rPr>
        <w:t xml:space="preserve"> KM i nastalih a do 31.12.201</w:t>
      </w:r>
      <w:r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 xml:space="preserve">.g.ne prijavljenih šteta u iznosu od </w:t>
      </w:r>
      <w:r>
        <w:rPr>
          <w:rFonts w:asciiTheme="majorHAnsi" w:hAnsiTheme="majorHAnsi"/>
        </w:rPr>
        <w:t>7.849.138,87KM</w:t>
      </w:r>
      <w:r w:rsidRPr="00F17E37">
        <w:rPr>
          <w:rFonts w:asciiTheme="majorHAnsi" w:hAnsiTheme="majorHAnsi"/>
        </w:rPr>
        <w:t>,tako da je ukupna rezervacija  sa stanjem na dan 31.12.201</w:t>
      </w:r>
      <w:r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 xml:space="preserve">.g. </w:t>
      </w:r>
      <w:r>
        <w:rPr>
          <w:rFonts w:asciiTheme="majorHAnsi" w:hAnsiTheme="majorHAnsi"/>
        </w:rPr>
        <w:t>9.983.833,42</w:t>
      </w:r>
      <w:r w:rsidRPr="00F17E37">
        <w:rPr>
          <w:rFonts w:asciiTheme="majorHAnsi" w:hAnsiTheme="majorHAnsi"/>
        </w:rPr>
        <w:t xml:space="preserve"> KM.</w:t>
      </w: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7069F9" w:rsidRPr="00C41C14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NOTA 45</w:t>
      </w:r>
      <w:r w:rsidRPr="00F17E37">
        <w:rPr>
          <w:rFonts w:asciiTheme="majorHAnsi" w:hAnsiTheme="majorHAnsi"/>
          <w:b/>
          <w:u w:val="single"/>
        </w:rPr>
        <w:t xml:space="preserve"> (AOP236</w:t>
      </w:r>
      <w:proofErr w:type="gramStart"/>
      <w:r w:rsidRPr="00F17E37">
        <w:rPr>
          <w:rFonts w:asciiTheme="majorHAnsi" w:hAnsiTheme="majorHAnsi"/>
        </w:rPr>
        <w:t>)</w:t>
      </w:r>
      <w:bookmarkStart w:id="46" w:name="_Toc33186109"/>
      <w:r w:rsidRPr="00FD3A74">
        <w:t>Troškovi</w:t>
      </w:r>
      <w:proofErr w:type="gramEnd"/>
      <w:r w:rsidRPr="00FD3A74">
        <w:t xml:space="preserve"> sprovođenja osiguranja</w:t>
      </w:r>
      <w:bookmarkEnd w:id="46"/>
    </w:p>
    <w:p w:rsidR="007069F9" w:rsidRPr="005C7981" w:rsidRDefault="007069F9" w:rsidP="007069F9">
      <w:pPr>
        <w:rPr>
          <w:rFonts w:asciiTheme="majorHAnsi" w:hAnsiTheme="majorHAnsi"/>
        </w:rPr>
      </w:pPr>
      <w:bookmarkStart w:id="47" w:name="_Toc475624879"/>
      <w:r w:rsidRPr="005C7981">
        <w:rPr>
          <w:rFonts w:asciiTheme="majorHAnsi" w:hAnsiTheme="majorHAnsi"/>
        </w:rPr>
        <w:t xml:space="preserve">Troškovi režije </w:t>
      </w:r>
      <w:bookmarkEnd w:id="47"/>
    </w:p>
    <w:tbl>
      <w:tblPr>
        <w:tblW w:w="9550" w:type="dxa"/>
        <w:tblInd w:w="78" w:type="dxa"/>
        <w:tblLook w:val="04A0" w:firstRow="1" w:lastRow="0" w:firstColumn="1" w:lastColumn="0" w:noHBand="0" w:noVBand="1"/>
      </w:tblPr>
      <w:tblGrid>
        <w:gridCol w:w="1008"/>
        <w:gridCol w:w="1315"/>
        <w:gridCol w:w="1123"/>
        <w:gridCol w:w="517"/>
        <w:gridCol w:w="1376"/>
        <w:gridCol w:w="1246"/>
        <w:gridCol w:w="982"/>
        <w:gridCol w:w="637"/>
        <w:gridCol w:w="902"/>
        <w:gridCol w:w="222"/>
        <w:gridCol w:w="222"/>
      </w:tblGrid>
      <w:tr w:rsidR="007069F9" w:rsidRPr="00F17E37" w:rsidTr="00CB1E1D">
        <w:trPr>
          <w:gridAfter w:val="2"/>
          <w:wAfter w:w="444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Autocentar Nešković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Interni odnosi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Konsolidacija</w:t>
            </w:r>
          </w:p>
        </w:tc>
      </w:tr>
      <w:tr w:rsidR="007069F9" w:rsidRPr="00F17E37" w:rsidTr="00CB1E1D">
        <w:trPr>
          <w:gridAfter w:val="2"/>
          <w:wAfter w:w="444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48" w:name="OLE_LINK2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D573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376.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131.202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507.790</w:t>
            </w: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rezervacije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4.649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Toš.materijala,goriva i energije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652.234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8.561.160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9.213.327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provizije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2.257.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proizvodnih usluga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106.211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290.186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61.826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334.571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Nematerijalni troškovi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582.037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         388.660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29.071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941.626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 poreza i doprinosa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148.722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19,660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168.382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plata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1.351.047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361.856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1.712.903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lični rashodi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21.456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0"/>
        </w:trPr>
        <w:tc>
          <w:tcPr>
            <w:tcW w:w="3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3.245.595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9.752.724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91.358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12.906.961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7069F9" w:rsidRPr="00F17E37" w:rsidRDefault="007069F9" w:rsidP="00CB1E1D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gridAfter w:val="2"/>
          <w:wAfter w:w="444" w:type="dxa"/>
          <w:trHeight w:val="276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  <w:tr w:rsidR="007069F9" w:rsidRPr="00F17E37" w:rsidTr="00CB1E1D">
        <w:trPr>
          <w:gridAfter w:val="2"/>
          <w:wAfter w:w="444" w:type="dxa"/>
          <w:trHeight w:val="276"/>
        </w:trPr>
        <w:tc>
          <w:tcPr>
            <w:tcW w:w="10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</w:tcBorders>
            <w:vAlign w:val="bottom"/>
          </w:tcPr>
          <w:p w:rsidR="007069F9" w:rsidRPr="00BD573D" w:rsidRDefault="007069F9" w:rsidP="00CB1E1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</w:tr>
    </w:tbl>
    <w:bookmarkEnd w:id="48"/>
    <w:p w:rsidR="007069F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Troškovi režije su umanjeni za interne odnose</w:t>
      </w:r>
      <w:proofErr w:type="gramStart"/>
      <w:r>
        <w:rPr>
          <w:rFonts w:asciiTheme="majorHAnsi" w:hAnsiTheme="majorHAnsi"/>
        </w:rPr>
        <w:t>,za</w:t>
      </w:r>
      <w:proofErr w:type="gramEnd"/>
      <w:r>
        <w:rPr>
          <w:rFonts w:asciiTheme="majorHAnsi" w:hAnsiTheme="majorHAnsi"/>
        </w:rPr>
        <w:t xml:space="preserve"> amortizacija Društva 394 KM po osnovu kupovine polovnog auta i nabavnu vrijednost Autocentra Nešković za 67 KM.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Kod Autocentra Nešković su umanjeni troškovi registracije vozila za 29.071KM i troškovi zakupa za 46252 KM a kod Društva su umanjeni troškovi održavanja za 15.574KM.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>NOTA 4</w:t>
      </w:r>
      <w:r>
        <w:rPr>
          <w:rFonts w:asciiTheme="majorHAnsi" w:hAnsiTheme="majorHAnsi"/>
          <w:b/>
          <w:u w:val="single"/>
        </w:rPr>
        <w:t>6(AOP 249</w:t>
      </w:r>
    </w:p>
    <w:p w:rsidR="007069F9" w:rsidRPr="00C41C14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>
        <w:t xml:space="preserve">        </w:t>
      </w:r>
      <w:bookmarkStart w:id="49" w:name="_Toc33186110"/>
      <w:r w:rsidRPr="00C41C14">
        <w:rPr>
          <w:b/>
        </w:rPr>
        <w:t>Poslovni dobitak</w:t>
      </w:r>
      <w:bookmarkEnd w:id="49"/>
    </w:p>
    <w:p w:rsidR="007069F9" w:rsidRPr="00FD3A74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D3A74">
        <w:rPr>
          <w:rFonts w:asciiTheme="majorHAnsi" w:hAnsiTheme="majorHAnsi"/>
        </w:rPr>
        <w:t>Poslovni dobitak društva je ostvaren u iznosu 8.</w:t>
      </w:r>
      <w:r>
        <w:rPr>
          <w:rFonts w:asciiTheme="majorHAnsi" w:hAnsiTheme="majorHAnsi"/>
        </w:rPr>
        <w:t>497.484</w:t>
      </w:r>
      <w:r w:rsidRPr="00FD3A74">
        <w:rPr>
          <w:rFonts w:asciiTheme="majorHAnsi" w:hAnsiTheme="majorHAnsi"/>
        </w:rPr>
        <w:t>KM.</w:t>
      </w:r>
    </w:p>
    <w:p w:rsidR="007069F9" w:rsidRPr="005F5025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proofErr w:type="gramStart"/>
      <w:r w:rsidRPr="00F17E37">
        <w:rPr>
          <w:rFonts w:asciiTheme="majorHAnsi" w:hAnsiTheme="majorHAnsi"/>
          <w:b/>
          <w:u w:val="single"/>
        </w:rPr>
        <w:t xml:space="preserve">NOTA  </w:t>
      </w:r>
      <w:r>
        <w:rPr>
          <w:rFonts w:asciiTheme="majorHAnsi" w:hAnsiTheme="majorHAnsi"/>
          <w:b/>
          <w:u w:val="single"/>
        </w:rPr>
        <w:t>47</w:t>
      </w:r>
      <w:proofErr w:type="gramEnd"/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:rsidR="007069F9" w:rsidRPr="00FD3A74" w:rsidRDefault="007069F9" w:rsidP="007069F9">
      <w:pPr>
        <w:pStyle w:val="Heading2"/>
        <w:numPr>
          <w:ilvl w:val="0"/>
          <w:numId w:val="0"/>
        </w:numPr>
        <w:ind w:left="578" w:hanging="578"/>
      </w:pPr>
      <w:bookmarkStart w:id="50" w:name="_Toc33186111"/>
      <w:r w:rsidRPr="00FD3A74">
        <w:t>Finansijski prihodi</w:t>
      </w:r>
      <w:bookmarkEnd w:id="50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7069F9" w:rsidRPr="00F17E37" w:rsidTr="00CB1E1D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60.388,72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209.251,23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41.825,41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622,34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312.087,70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7069F9" w:rsidRPr="00F17E37" w:rsidRDefault="007069F9" w:rsidP="007069F9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3D2CAA">
        <w:rPr>
          <w:rFonts w:asciiTheme="majorHAnsi" w:hAnsiTheme="majorHAnsi"/>
        </w:rPr>
        <w:t xml:space="preserve">Finansijski prihodi </w:t>
      </w:r>
      <w:r>
        <w:rPr>
          <w:rFonts w:asciiTheme="majorHAnsi" w:hAnsiTheme="majorHAnsi"/>
        </w:rPr>
        <w:t xml:space="preserve">Autocentra </w:t>
      </w:r>
      <w:proofErr w:type="gramStart"/>
      <w:r>
        <w:rPr>
          <w:rFonts w:asciiTheme="majorHAnsi" w:hAnsiTheme="majorHAnsi"/>
        </w:rPr>
        <w:t>Nešković ,kamata</w:t>
      </w:r>
      <w:proofErr w:type="gramEnd"/>
      <w:r>
        <w:rPr>
          <w:rFonts w:asciiTheme="majorHAnsi" w:hAnsiTheme="majorHAnsi"/>
        </w:rPr>
        <w:t xml:space="preserve"> i ostali prihodi su 43.988 KM, i umanjeni su za 302KM  po osnovu naplaćene štete osiguranje,a po osnovu kamate na zajam Društva umanjen je  prihod u iznosu 1.319KM pa je iznos za  konsolidaciju 354.454 KM.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4</w:t>
      </w:r>
      <w:bookmarkStart w:id="51" w:name="_Toc33186112"/>
      <w:r>
        <w:rPr>
          <w:rFonts w:asciiTheme="majorHAnsi" w:hAnsiTheme="majorHAnsi"/>
          <w:b/>
          <w:u w:val="single"/>
        </w:rPr>
        <w:t>8(AOP 256)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7069F9" w:rsidRPr="001B35E3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1B35E3">
        <w:rPr>
          <w:b/>
        </w:rPr>
        <w:t>Finansijski rashodi</w:t>
      </w:r>
      <w:bookmarkEnd w:id="51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7069F9" w:rsidRPr="00F17E37" w:rsidTr="00CB1E1D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62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1.023,17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Finansijski rashodi Autocentar  Nešković, rashodi kamata i ostali rashodi  u iznosu od 29.560 KM su umanjeni za 1319 KM po osnovu troškova kamate u Autocentru Nešković tako da su finansijski rashodi za konsolidaciju u iznosu od 29.264 KM.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</w:rPr>
      </w:pPr>
      <w:r w:rsidRPr="002805B6">
        <w:rPr>
          <w:rFonts w:asciiTheme="majorHAnsi" w:hAnsiTheme="majorHAnsi"/>
          <w:b/>
        </w:rPr>
        <w:t xml:space="preserve">NOTA </w:t>
      </w:r>
      <w:r>
        <w:rPr>
          <w:rFonts w:asciiTheme="majorHAnsi" w:hAnsiTheme="majorHAnsi"/>
          <w:b/>
        </w:rPr>
        <w:t>49</w:t>
      </w:r>
      <w:r w:rsidRPr="002805B6">
        <w:rPr>
          <w:rFonts w:asciiTheme="majorHAnsi" w:hAnsiTheme="majorHAnsi"/>
          <w:b/>
        </w:rPr>
        <w:t xml:space="preserve">(AOP261)  </w:t>
      </w:r>
    </w:p>
    <w:p w:rsidR="007069F9" w:rsidRPr="007C2990" w:rsidRDefault="007069F9" w:rsidP="007069F9">
      <w:pPr>
        <w:pStyle w:val="Heading2"/>
        <w:numPr>
          <w:ilvl w:val="0"/>
          <w:numId w:val="0"/>
        </w:numPr>
      </w:pPr>
      <w:r>
        <w:t xml:space="preserve">  </w:t>
      </w:r>
      <w:bookmarkStart w:id="52" w:name="_Toc33186113"/>
      <w:r w:rsidRPr="007C2990">
        <w:t>Dobitak redovne aktivnosti</w:t>
      </w:r>
      <w:bookmarkEnd w:id="52"/>
    </w:p>
    <w:p w:rsidR="007069F9" w:rsidRPr="00FD3A74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D3A74">
        <w:rPr>
          <w:rFonts w:asciiTheme="majorHAnsi" w:hAnsiTheme="majorHAnsi"/>
        </w:rPr>
        <w:t xml:space="preserve"> Društvo je </w:t>
      </w:r>
      <w:proofErr w:type="gramStart"/>
      <w:r w:rsidRPr="00FD3A74">
        <w:rPr>
          <w:rFonts w:asciiTheme="majorHAnsi" w:hAnsiTheme="majorHAnsi"/>
        </w:rPr>
        <w:t>na</w:t>
      </w:r>
      <w:proofErr w:type="gramEnd"/>
      <w:r w:rsidRPr="00FD3A74">
        <w:rPr>
          <w:rFonts w:asciiTheme="majorHAnsi" w:hAnsiTheme="majorHAnsi"/>
        </w:rPr>
        <w:t xml:space="preserve"> osnovu naprijed navedenih prihoda i rashoda ostavarilo dobitak od redovnih aktivnosti u iznosu </w:t>
      </w:r>
      <w:r>
        <w:rPr>
          <w:rFonts w:asciiTheme="majorHAnsi" w:hAnsiTheme="majorHAnsi"/>
        </w:rPr>
        <w:t>8.822.674KM</w:t>
      </w:r>
      <w:r w:rsidRPr="00FD3A74">
        <w:rPr>
          <w:rFonts w:asciiTheme="majorHAnsi" w:hAnsiTheme="majorHAnsi"/>
        </w:rPr>
        <w:t>.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lastRenderedPageBreak/>
        <w:t>NOTA</w:t>
      </w:r>
      <w:r>
        <w:rPr>
          <w:rFonts w:asciiTheme="majorHAnsi" w:hAnsiTheme="majorHAnsi"/>
          <w:b/>
          <w:u w:val="single"/>
        </w:rPr>
        <w:t xml:space="preserve"> 50</w:t>
      </w:r>
      <w:r w:rsidRPr="00F17E37">
        <w:rPr>
          <w:rFonts w:asciiTheme="majorHAnsi" w:hAnsiTheme="majorHAnsi"/>
          <w:b/>
          <w:u w:val="single"/>
        </w:rPr>
        <w:t>(AOP263)</w:t>
      </w:r>
    </w:p>
    <w:p w:rsidR="007069F9" w:rsidRPr="00F17E37" w:rsidRDefault="007069F9" w:rsidP="007069F9">
      <w:pPr>
        <w:pStyle w:val="Heading2"/>
        <w:spacing w:after="0"/>
      </w:pPr>
      <w:bookmarkStart w:id="53" w:name="_Toc33186114"/>
      <w:r w:rsidRPr="00F17E37">
        <w:t>Ostali prihodi</w:t>
      </w:r>
      <w:bookmarkEnd w:id="53"/>
    </w:p>
    <w:tbl>
      <w:tblPr>
        <w:tblW w:w="9206" w:type="dxa"/>
        <w:tblInd w:w="93" w:type="dxa"/>
        <w:tblLook w:val="04A0" w:firstRow="1" w:lastRow="0" w:firstColumn="1" w:lastColumn="0" w:noHBand="0" w:noVBand="1"/>
      </w:tblPr>
      <w:tblGrid>
        <w:gridCol w:w="2232"/>
        <w:gridCol w:w="917"/>
        <w:gridCol w:w="1304"/>
        <w:gridCol w:w="321"/>
        <w:gridCol w:w="1528"/>
        <w:gridCol w:w="1566"/>
        <w:gridCol w:w="1338"/>
      </w:tblGrid>
      <w:tr w:rsidR="007069F9" w:rsidRPr="00F17E37" w:rsidTr="00CB1E1D">
        <w:trPr>
          <w:trHeight w:val="28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10"/>
        </w:trPr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54" w:name="OLE_LINK3"/>
            <w:bookmarkStart w:id="55" w:name="OLE_LINK4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7.817,77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00"/>
        </w:trPr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Dobici od prodaje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3.512,62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smanjenja rezervisanja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376,67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7"/>
        </w:trPr>
        <w:tc>
          <w:tcPr>
            <w:tcW w:w="44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nepomen. prih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12.256,24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287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23.966,30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7069F9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54"/>
    <w:bookmarkEnd w:id="55"/>
    <w:p w:rsidR="007069F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Ostali finansijski prihodi Autocentar </w:t>
      </w:r>
      <w:proofErr w:type="gramStart"/>
      <w:r>
        <w:rPr>
          <w:rFonts w:asciiTheme="majorHAnsi" w:hAnsiTheme="majorHAnsi"/>
        </w:rPr>
        <w:t>Nešković  su</w:t>
      </w:r>
      <w:proofErr w:type="gramEnd"/>
      <w:r>
        <w:rPr>
          <w:rFonts w:asciiTheme="majorHAnsi" w:hAnsiTheme="majorHAnsi"/>
        </w:rPr>
        <w:t xml:space="preserve"> 282.530KM Tako da je iznos za konsolidaciju </w:t>
      </w:r>
    </w:p>
    <w:p w:rsidR="007069F9" w:rsidRPr="00224289" w:rsidRDefault="007069F9" w:rsidP="007069F9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306.497 KM.</w:t>
      </w: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:rsidR="007069F9" w:rsidRPr="00F17E37" w:rsidRDefault="007069F9" w:rsidP="007069F9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51</w:t>
      </w:r>
      <w:r w:rsidRPr="00F17E37">
        <w:rPr>
          <w:rFonts w:asciiTheme="majorHAnsi" w:hAnsiTheme="majorHAnsi"/>
          <w:b/>
          <w:u w:val="single"/>
        </w:rPr>
        <w:t>(AOP268)</w:t>
      </w:r>
    </w:p>
    <w:p w:rsidR="007069F9" w:rsidRPr="00F17E37" w:rsidRDefault="007069F9" w:rsidP="007069F9">
      <w:pPr>
        <w:pStyle w:val="Heading2"/>
        <w:spacing w:after="0"/>
      </w:pPr>
      <w:bookmarkStart w:id="56" w:name="_Toc33186115"/>
      <w:r w:rsidRPr="00F17E37">
        <w:t>Ostali rashodi</w:t>
      </w:r>
      <w:bookmarkEnd w:id="56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7069F9" w:rsidRPr="00F17E37" w:rsidTr="00CB1E1D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201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4B22DC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477,77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4B22DC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5.813,04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4B22DC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19.311,87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kazni,reš.pu,ino usl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7.142,23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33.414,69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4.727,16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7069F9" w:rsidRPr="00F17E37" w:rsidTr="00CB1E1D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70.886,76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noWrap/>
            <w:vAlign w:val="bottom"/>
          </w:tcPr>
          <w:p w:rsidR="007069F9" w:rsidRPr="00F17E37" w:rsidRDefault="007069F9" w:rsidP="00CB1E1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:rsidR="007069F9" w:rsidRDefault="007069F9" w:rsidP="007069F9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</w:t>
      </w:r>
    </w:p>
    <w:p w:rsidR="007069F9" w:rsidRPr="009E0828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proofErr w:type="gramStart"/>
      <w:r w:rsidRPr="009E0828">
        <w:rPr>
          <w:rFonts w:asciiTheme="majorHAnsi" w:hAnsiTheme="majorHAnsi"/>
        </w:rPr>
        <w:t>Ostali  rashodi</w:t>
      </w:r>
      <w:proofErr w:type="gramEnd"/>
      <w:r w:rsidRPr="009E0828">
        <w:rPr>
          <w:rFonts w:asciiTheme="majorHAnsi" w:hAnsiTheme="majorHAnsi"/>
        </w:rPr>
        <w:t xml:space="preserve"> su uvćani za rashode Autocentra Nešković u iznosu od 251.567 KM tako da su ukupni ostali rashodi za konsolidaciju 322.454 KM.</w:t>
      </w:r>
    </w:p>
    <w:p w:rsidR="007069F9" w:rsidRPr="009E0828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NOTA 52(AOP 274)</w:t>
      </w:r>
    </w:p>
    <w:p w:rsidR="007069F9" w:rsidRPr="007C2990" w:rsidRDefault="007069F9" w:rsidP="007069F9">
      <w:pPr>
        <w:pStyle w:val="Heading2"/>
        <w:numPr>
          <w:ilvl w:val="0"/>
          <w:numId w:val="0"/>
        </w:numPr>
      </w:pPr>
      <w:r w:rsidRPr="00032986">
        <w:rPr>
          <w:szCs w:val="24"/>
        </w:rPr>
        <w:t xml:space="preserve">    </w:t>
      </w:r>
      <w:bookmarkStart w:id="57" w:name="_Toc33186116"/>
      <w:r w:rsidRPr="007C2990">
        <w:t>Gubitak po osnovu ostalih prihoda</w:t>
      </w:r>
      <w:bookmarkEnd w:id="57"/>
    </w:p>
    <w:p w:rsidR="007069F9" w:rsidRPr="00FD3A74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D3A74">
        <w:rPr>
          <w:rFonts w:asciiTheme="majorHAnsi" w:hAnsiTheme="majorHAnsi"/>
          <w:sz w:val="24"/>
          <w:szCs w:val="24"/>
        </w:rPr>
        <w:t xml:space="preserve">Kao razliku između ostalih prihoda i rashoda društvo je ostvarilo gubitak u iznosu </w:t>
      </w:r>
      <w:proofErr w:type="gramStart"/>
      <w:r w:rsidRPr="00FD3A74">
        <w:rPr>
          <w:rFonts w:asciiTheme="majorHAnsi" w:hAnsiTheme="majorHAnsi"/>
          <w:sz w:val="24"/>
          <w:szCs w:val="24"/>
        </w:rPr>
        <w:t>od</w:t>
      </w:r>
      <w:proofErr w:type="gramEnd"/>
      <w:r w:rsidRPr="00FD3A7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15.957 KM.</w:t>
      </w:r>
    </w:p>
    <w:p w:rsidR="007069F9" w:rsidRPr="003E1635" w:rsidRDefault="007069F9" w:rsidP="007069F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:rsidR="007069F9" w:rsidRPr="003E1635" w:rsidRDefault="007069F9" w:rsidP="007069F9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53</w:t>
      </w:r>
      <w:r w:rsidRPr="003E1635">
        <w:rPr>
          <w:rFonts w:asciiTheme="majorHAnsi" w:hAnsiTheme="majorHAnsi"/>
          <w:b/>
          <w:u w:val="single"/>
        </w:rPr>
        <w:t>(AOP</w:t>
      </w:r>
      <w:r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:rsidR="007069F9" w:rsidRDefault="007069F9" w:rsidP="007069F9">
      <w:pPr>
        <w:pStyle w:val="Heading2"/>
        <w:numPr>
          <w:ilvl w:val="0"/>
          <w:numId w:val="0"/>
        </w:numPr>
        <w:spacing w:after="0"/>
        <w:ind w:left="578" w:hanging="578"/>
      </w:pPr>
      <w:bookmarkStart w:id="58" w:name="_Toc33186117"/>
      <w:r w:rsidRPr="00235496">
        <w:t xml:space="preserve">Ostali rashodi </w:t>
      </w:r>
      <w:proofErr w:type="gramStart"/>
      <w:r w:rsidRPr="00235496">
        <w:t>od</w:t>
      </w:r>
      <w:proofErr w:type="gramEnd"/>
      <w:r w:rsidRPr="00235496">
        <w:t xml:space="preserve"> usklađivnja vrijednosti imovine</w:t>
      </w:r>
      <w:bookmarkEnd w:id="58"/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495"/>
        <w:gridCol w:w="2251"/>
        <w:gridCol w:w="2495"/>
        <w:gridCol w:w="1736"/>
        <w:gridCol w:w="1571"/>
      </w:tblGrid>
      <w:tr w:rsidR="007069F9" w:rsidRPr="00E95E77" w:rsidTr="00CB1E1D">
        <w:trPr>
          <w:trHeight w:val="244"/>
        </w:trPr>
        <w:tc>
          <w:tcPr>
            <w:tcW w:w="2495" w:type="dxa"/>
            <w:noWrap/>
            <w:hideMark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Naziv</w:t>
            </w:r>
          </w:p>
        </w:tc>
        <w:tc>
          <w:tcPr>
            <w:tcW w:w="2251" w:type="dxa"/>
            <w:noWrap/>
            <w:hideMark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Prije procjene</w:t>
            </w:r>
          </w:p>
        </w:tc>
        <w:tc>
          <w:tcPr>
            <w:tcW w:w="2495" w:type="dxa"/>
            <w:noWrap/>
            <w:hideMark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Po procjeni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  <w:hideMark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 -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B.Luka,K.Miloša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3.170.817,51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3.150.950,00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19.867,51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Zvornik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402.655,39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370.478,00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32.177,39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Bijeljinaa,Sremska 3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2.332.815,00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2.055.000,00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277.815,00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Doboj,N.Pašića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1.791.091,00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1.775.844,00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15.247,00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B.Luka,J.Bogdana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2.216.893,13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2.105.625,00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111.268,13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 Pijesak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152.030,00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159.800,00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+</w:t>
            </w:r>
            <w:r w:rsidRPr="00BD573D">
              <w:rPr>
                <w:rFonts w:asciiTheme="majorHAnsi" w:hAnsiTheme="majorHAnsi"/>
                <w:sz w:val="18"/>
                <w:szCs w:val="18"/>
              </w:rPr>
              <w:t>7.770,00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Sokolac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291.372,00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287.940,80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3.431,20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Bijeljina,Trg 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1.612.500,00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1.211.000,00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401.500,00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Bijeljina,Njegoševa</w:t>
            </w: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1.803.623,54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1.700.300,00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103.323,54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069F9" w:rsidRPr="00E95E77" w:rsidTr="00CB1E1D">
        <w:trPr>
          <w:trHeight w:val="244"/>
        </w:trPr>
        <w:tc>
          <w:tcPr>
            <w:tcW w:w="2495" w:type="dxa"/>
            <w:noWrap/>
          </w:tcPr>
          <w:p w:rsidR="007069F9" w:rsidRPr="00E95E77" w:rsidRDefault="007069F9" w:rsidP="00CB1E1D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13.773.797,57</w:t>
            </w:r>
          </w:p>
        </w:tc>
        <w:tc>
          <w:tcPr>
            <w:tcW w:w="2495" w:type="dxa"/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12.816.937,80</w:t>
            </w:r>
          </w:p>
        </w:tc>
        <w:tc>
          <w:tcPr>
            <w:tcW w:w="1736" w:type="dxa"/>
            <w:tcBorders>
              <w:right w:val="single" w:sz="4" w:space="0" w:color="auto"/>
            </w:tcBorders>
            <w:noWrap/>
          </w:tcPr>
          <w:p w:rsidR="007069F9" w:rsidRPr="00BD573D" w:rsidRDefault="007069F9" w:rsidP="00CB1E1D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BD573D">
              <w:rPr>
                <w:rFonts w:asciiTheme="majorHAnsi" w:hAnsiTheme="majorHAnsi"/>
                <w:sz w:val="18"/>
                <w:szCs w:val="18"/>
              </w:rPr>
              <w:t>956.859,77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7069F9" w:rsidRPr="00C94C20" w:rsidRDefault="007069F9" w:rsidP="00CB1E1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69F9" w:rsidRDefault="007069F9" w:rsidP="007069F9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:rsidR="007069F9" w:rsidRDefault="007069F9" w:rsidP="007069F9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Pr="00F17E37">
        <w:rPr>
          <w:rFonts w:asciiTheme="majorHAnsi" w:hAnsiTheme="majorHAnsi"/>
        </w:rPr>
        <w:t xml:space="preserve">Za potrebe izrade završnog računa,  izvršena je procjena investicionih nekretnina koje se ne amortizuju nego se u skladu sa MRS 40 vrednuju po fer vrijednosti  kroz bilans uspjeha u korist </w:t>
      </w:r>
      <w:r>
        <w:rPr>
          <w:rFonts w:asciiTheme="majorHAnsi" w:hAnsiTheme="majorHAnsi"/>
        </w:rPr>
        <w:t xml:space="preserve">ostalih </w:t>
      </w:r>
      <w:r w:rsidRPr="00F17E37">
        <w:rPr>
          <w:rFonts w:asciiTheme="majorHAnsi" w:hAnsiTheme="majorHAnsi"/>
        </w:rPr>
        <w:t xml:space="preserve">prihoda  i na teret rashoda.U navedenoj noti  je dat samo  pregled onih nekretnina koje su imale  promjenu vrijednosti po procjeni. 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>
        <w:rPr>
          <w:rFonts w:asciiTheme="majorHAnsi" w:hAnsiTheme="majorHAnsi"/>
          <w:b/>
          <w:sz w:val="24"/>
          <w:szCs w:val="24"/>
          <w:u w:val="single"/>
        </w:rPr>
        <w:t>54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7069F9" w:rsidRPr="009E0828" w:rsidRDefault="007069F9" w:rsidP="007069F9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2805B6">
        <w:rPr>
          <w:szCs w:val="24"/>
        </w:rPr>
        <w:t xml:space="preserve">   </w:t>
      </w:r>
      <w:bookmarkStart w:id="59" w:name="_Toc33186118"/>
      <w:r w:rsidRPr="009E0828">
        <w:rPr>
          <w:b/>
        </w:rPr>
        <w:t>Gubitak po osnovu usklađivanja vrijednosti imovine</w:t>
      </w:r>
      <w:bookmarkEnd w:id="59"/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 w:rsidRPr="002805B6">
        <w:rPr>
          <w:rFonts w:asciiTheme="majorHAnsi" w:hAnsiTheme="majorHAnsi"/>
          <w:sz w:val="24"/>
          <w:szCs w:val="24"/>
        </w:rPr>
        <w:t xml:space="preserve">Po osnovu procjene vrijednosti investicionih nekretnina društvo je ostvarilo gubitak u iznosu </w:t>
      </w:r>
      <w:proofErr w:type="gramStart"/>
      <w:r w:rsidRPr="002805B6">
        <w:rPr>
          <w:rFonts w:asciiTheme="majorHAnsi" w:hAnsiTheme="majorHAnsi"/>
          <w:sz w:val="24"/>
          <w:szCs w:val="24"/>
        </w:rPr>
        <w:t>od</w:t>
      </w:r>
      <w:proofErr w:type="gramEnd"/>
      <w:r>
        <w:rPr>
          <w:rFonts w:asciiTheme="majorHAnsi" w:hAnsiTheme="majorHAnsi"/>
          <w:sz w:val="24"/>
          <w:szCs w:val="24"/>
        </w:rPr>
        <w:t xml:space="preserve"> 964.630KM.</w:t>
      </w:r>
    </w:p>
    <w:p w:rsidR="007069F9" w:rsidRDefault="007069F9" w:rsidP="007069F9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:rsidR="007069F9" w:rsidRPr="002805B6" w:rsidRDefault="007069F9" w:rsidP="007069F9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 w:rsidRPr="008370FE">
        <w:rPr>
          <w:rFonts w:asciiTheme="majorHAnsi" w:hAnsiTheme="majorHAnsi"/>
          <w:b/>
          <w:sz w:val="24"/>
          <w:szCs w:val="24"/>
          <w:u w:val="single"/>
        </w:rPr>
        <w:t>NOTA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55</w:t>
      </w:r>
      <w:r w:rsidRPr="008370FE">
        <w:rPr>
          <w:rFonts w:asciiTheme="majorHAnsi" w:hAnsiTheme="majorHAnsi"/>
          <w:b/>
          <w:sz w:val="24"/>
          <w:szCs w:val="24"/>
          <w:u w:val="single"/>
        </w:rPr>
        <w:t xml:space="preserve"> (AOP 2</w:t>
      </w:r>
      <w:r>
        <w:rPr>
          <w:rFonts w:asciiTheme="majorHAnsi" w:hAnsiTheme="majorHAnsi"/>
          <w:b/>
          <w:sz w:val="24"/>
          <w:szCs w:val="24"/>
          <w:u w:val="single"/>
        </w:rPr>
        <w:t>89</w:t>
      </w:r>
      <w:r>
        <w:rPr>
          <w:rFonts w:asciiTheme="majorHAnsi" w:hAnsiTheme="majorHAnsi"/>
          <w:sz w:val="24"/>
          <w:szCs w:val="24"/>
        </w:rPr>
        <w:t>)</w:t>
      </w:r>
    </w:p>
    <w:p w:rsidR="007069F9" w:rsidRPr="008370FE" w:rsidRDefault="007069F9" w:rsidP="007069F9">
      <w:pPr>
        <w:pStyle w:val="Heading2"/>
        <w:numPr>
          <w:ilvl w:val="0"/>
          <w:numId w:val="0"/>
        </w:numPr>
        <w:spacing w:after="0"/>
      </w:pPr>
      <w:r w:rsidRPr="008370FE">
        <w:rPr>
          <w:rFonts w:eastAsiaTheme="minorEastAsia" w:cstheme="minorBidi"/>
          <w:bCs w:val="0"/>
          <w:szCs w:val="24"/>
        </w:rPr>
        <w:t>Dobit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</w:t>
      </w:r>
      <w:r w:rsidRPr="00FD3A74">
        <w:rPr>
          <w:rFonts w:asciiTheme="majorHAnsi" w:hAnsiTheme="majorHAnsi"/>
        </w:rPr>
        <w:t xml:space="preserve">obitak </w:t>
      </w:r>
      <w:r>
        <w:rPr>
          <w:rFonts w:asciiTheme="majorHAnsi" w:hAnsiTheme="majorHAnsi"/>
        </w:rPr>
        <w:t xml:space="preserve"> po</w:t>
      </w:r>
      <w:proofErr w:type="gramEnd"/>
      <w:r>
        <w:rPr>
          <w:rFonts w:asciiTheme="majorHAnsi" w:hAnsiTheme="majorHAnsi"/>
        </w:rPr>
        <w:t xml:space="preserve"> osnovu konsolidacije </w:t>
      </w:r>
      <w:r w:rsidRPr="00FD3A74">
        <w:rPr>
          <w:rFonts w:asciiTheme="majorHAnsi" w:hAnsiTheme="majorHAnsi"/>
        </w:rPr>
        <w:t xml:space="preserve">u iznosu od  </w:t>
      </w:r>
      <w:r>
        <w:rPr>
          <w:rFonts w:asciiTheme="majorHAnsi" w:hAnsiTheme="majorHAnsi"/>
        </w:rPr>
        <w:t>7.842.087 KM.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8370FE">
        <w:rPr>
          <w:rFonts w:asciiTheme="majorHAnsi" w:hAnsiTheme="majorHAnsi"/>
          <w:b/>
          <w:u w:val="single"/>
        </w:rPr>
        <w:t>NOTA</w:t>
      </w:r>
      <w:r>
        <w:rPr>
          <w:rFonts w:asciiTheme="majorHAnsi" w:hAnsiTheme="majorHAnsi"/>
          <w:b/>
          <w:u w:val="single"/>
        </w:rPr>
        <w:t xml:space="preserve"> 56</w:t>
      </w:r>
      <w:r w:rsidRPr="008370FE">
        <w:rPr>
          <w:rFonts w:asciiTheme="majorHAnsi" w:hAnsiTheme="majorHAnsi"/>
          <w:b/>
          <w:u w:val="single"/>
        </w:rPr>
        <w:t xml:space="preserve"> (AOP 291</w:t>
      </w:r>
      <w:r>
        <w:rPr>
          <w:rFonts w:asciiTheme="majorHAnsi" w:hAnsiTheme="majorHAnsi"/>
        </w:rPr>
        <w:t>)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Porez na dobit je uvećan u iznosu od 11 po osnovu efekata </w:t>
      </w:r>
      <w:proofErr w:type="gramStart"/>
      <w:r>
        <w:rPr>
          <w:rFonts w:asciiTheme="majorHAnsi" w:hAnsiTheme="majorHAnsi"/>
        </w:rPr>
        <w:t>konsolidacije  i</w:t>
      </w:r>
      <w:proofErr w:type="gramEnd"/>
      <w:r>
        <w:rPr>
          <w:rFonts w:asciiTheme="majorHAnsi" w:hAnsiTheme="majorHAnsi"/>
        </w:rPr>
        <w:t xml:space="preserve"> u iznosu je  817.761KM.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8370FE">
        <w:rPr>
          <w:rFonts w:asciiTheme="majorHAnsi" w:hAnsiTheme="majorHAnsi"/>
          <w:b/>
          <w:u w:val="single"/>
        </w:rPr>
        <w:t>NOTA</w:t>
      </w:r>
      <w:r>
        <w:rPr>
          <w:rFonts w:asciiTheme="majorHAnsi" w:hAnsiTheme="majorHAnsi"/>
          <w:b/>
          <w:u w:val="single"/>
        </w:rPr>
        <w:t xml:space="preserve"> 57</w:t>
      </w:r>
      <w:r w:rsidRPr="008370FE">
        <w:rPr>
          <w:rFonts w:asciiTheme="majorHAnsi" w:hAnsiTheme="majorHAnsi"/>
          <w:b/>
          <w:u w:val="single"/>
        </w:rPr>
        <w:t xml:space="preserve"> (AOP 294</w:t>
      </w:r>
      <w:r>
        <w:rPr>
          <w:rFonts w:asciiTheme="majorHAnsi" w:hAnsiTheme="majorHAnsi"/>
        </w:rPr>
        <w:t>)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</w:p>
    <w:p w:rsidR="007069F9" w:rsidRPr="008370FE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r w:rsidRPr="008370FE">
        <w:rPr>
          <w:rFonts w:asciiTheme="majorHAnsi" w:hAnsiTheme="majorHAnsi"/>
          <w:b/>
        </w:rPr>
        <w:t>Neto dobitak</w:t>
      </w:r>
    </w:p>
    <w:p w:rsidR="007069F9" w:rsidRDefault="007069F9" w:rsidP="007069F9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Neto dobit po konsolidaciji je 7.024.326 KM.</w:t>
      </w:r>
    </w:p>
    <w:p w:rsidR="007069F9" w:rsidRDefault="007069F9" w:rsidP="007069F9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                              </w:t>
      </w:r>
    </w:p>
    <w:p w:rsidR="007069F9" w:rsidRDefault="007069F9" w:rsidP="007069F9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p w:rsidR="007069F9" w:rsidRDefault="007069F9" w:rsidP="007069F9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E67F6" w:rsidRPr="0005539C" w:rsidRDefault="009E67F6" w:rsidP="009E67F6">
      <w:pPr>
        <w:rPr>
          <w:rFonts w:ascii="Cambria" w:hAnsi="Cambria"/>
          <w:b/>
          <w:sz w:val="28"/>
          <w:szCs w:val="28"/>
          <w:lang w:val="sr-Latn-CS"/>
        </w:rPr>
      </w:pPr>
    </w:p>
    <w:p w:rsidR="009E67F6" w:rsidRPr="00073381" w:rsidRDefault="009E67F6" w:rsidP="009E67F6">
      <w:pPr>
        <w:rPr>
          <w:rFonts w:ascii="Cambria" w:hAnsi="Cambria"/>
          <w:b/>
          <w:sz w:val="28"/>
          <w:szCs w:val="28"/>
          <w:lang w:val="sr-Latn-CS"/>
        </w:rPr>
      </w:pPr>
      <w:r w:rsidRPr="00073381">
        <w:rPr>
          <w:rFonts w:ascii="Cambria" w:hAnsi="Cambria"/>
          <w:b/>
          <w:sz w:val="28"/>
          <w:szCs w:val="28"/>
          <w:lang w:val="sr-Latn-CS"/>
        </w:rPr>
        <w:t>Note uz kretanje kapitala-konsolidacija</w:t>
      </w:r>
    </w:p>
    <w:p w:rsidR="009E67F6" w:rsidRPr="0005539C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05539C">
        <w:rPr>
          <w:rFonts w:ascii="Cambria" w:hAnsi="Cambria"/>
          <w:b/>
          <w:sz w:val="24"/>
          <w:szCs w:val="24"/>
          <w:u w:val="single"/>
          <w:lang w:val="sr-Latn-CS"/>
        </w:rPr>
        <w:t>NOTA 58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 w:rsidRPr="0005539C">
        <w:rPr>
          <w:rFonts w:ascii="Cambria" w:hAnsi="Cambria"/>
          <w:sz w:val="24"/>
          <w:szCs w:val="24"/>
          <w:lang w:val="sr-Latn-CS"/>
        </w:rPr>
        <w:t>Ukupan kapital je korigovan za učešće u kapitalu Autocentar Nešković doo Bijeljina u iznosu od 600.000 KM(AOP 901,912,915,923).</w:t>
      </w:r>
    </w:p>
    <w:p w:rsidR="009E67F6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05539C">
        <w:rPr>
          <w:rFonts w:ascii="Cambria" w:hAnsi="Cambria"/>
          <w:b/>
          <w:sz w:val="24"/>
          <w:szCs w:val="24"/>
          <w:u w:val="single"/>
          <w:lang w:val="sr-Latn-CS"/>
        </w:rPr>
        <w:t>NOTA 59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>(AOP 919)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 w:rsidRPr="0005539C">
        <w:rPr>
          <w:rFonts w:ascii="Cambria" w:hAnsi="Cambria"/>
          <w:sz w:val="24"/>
          <w:szCs w:val="24"/>
          <w:lang w:val="sr-Latn-CS"/>
        </w:rPr>
        <w:t>D</w:t>
      </w:r>
      <w:r>
        <w:rPr>
          <w:rFonts w:ascii="Cambria" w:hAnsi="Cambria"/>
          <w:sz w:val="24"/>
          <w:szCs w:val="24"/>
          <w:lang w:val="sr-Latn-CS"/>
        </w:rPr>
        <w:t>obit tekuće godine 7.114.619KM je po osnovu konsolidacije  povećana  za 450KM po osnovu ukidanja amortizacije i razlike u cijeni na autu kupljenom od Autocenta Nešković doo Bijeljina i iznosi 7.115.069 KM.</w:t>
      </w:r>
    </w:p>
    <w:p w:rsidR="009E67F6" w:rsidRPr="00BA5E17" w:rsidRDefault="009E67F6" w:rsidP="009E67F6">
      <w:pPr>
        <w:rPr>
          <w:rFonts w:ascii="Cambria" w:hAnsi="Cambria"/>
          <w:b/>
          <w:sz w:val="24"/>
          <w:szCs w:val="24"/>
          <w:lang w:val="sr-Latn-CS"/>
        </w:rPr>
      </w:pPr>
      <w:r w:rsidRPr="00BA5E17">
        <w:rPr>
          <w:rFonts w:ascii="Cambria" w:hAnsi="Cambria"/>
          <w:b/>
          <w:sz w:val="24"/>
          <w:szCs w:val="24"/>
          <w:u w:val="single"/>
          <w:lang w:val="sr-Latn-CS"/>
        </w:rPr>
        <w:t>NOTA 60(AOP 921</w:t>
      </w:r>
      <w:r w:rsidRPr="00BA5E17">
        <w:rPr>
          <w:rFonts w:ascii="Cambria" w:hAnsi="Cambria"/>
          <w:b/>
          <w:sz w:val="24"/>
          <w:szCs w:val="24"/>
          <w:lang w:val="sr-Latn-CS"/>
        </w:rPr>
        <w:t>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Raspodjela dobiti je povećana za iznos 1.689 KM za iznos povećanja dobiti u 2018.g.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</w:p>
    <w:p w:rsidR="009E67F6" w:rsidRPr="00BA5E17" w:rsidRDefault="009E67F6" w:rsidP="009E67F6">
      <w:pPr>
        <w:rPr>
          <w:rFonts w:ascii="Cambria" w:hAnsi="Cambria"/>
          <w:b/>
          <w:sz w:val="32"/>
          <w:szCs w:val="32"/>
          <w:lang w:val="sr-Latn-CS"/>
        </w:rPr>
      </w:pPr>
      <w:r w:rsidRPr="00BA5E17">
        <w:rPr>
          <w:rFonts w:ascii="Cambria" w:hAnsi="Cambria"/>
          <w:b/>
          <w:sz w:val="32"/>
          <w:szCs w:val="32"/>
          <w:lang w:val="sr-Latn-CS"/>
        </w:rPr>
        <w:t>Note uz bilans novčanih tokova</w:t>
      </w:r>
    </w:p>
    <w:p w:rsidR="009E67F6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2A2D9F">
        <w:rPr>
          <w:rFonts w:ascii="Cambria" w:hAnsi="Cambria"/>
          <w:b/>
          <w:sz w:val="24"/>
          <w:szCs w:val="24"/>
          <w:u w:val="single"/>
          <w:lang w:val="sr-Latn-CS"/>
        </w:rPr>
        <w:t>NOTA 61(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 xml:space="preserve">AOP </w:t>
      </w:r>
      <w:r w:rsidRPr="002A2D9F">
        <w:rPr>
          <w:rFonts w:ascii="Cambria" w:hAnsi="Cambria"/>
          <w:b/>
          <w:sz w:val="24"/>
          <w:szCs w:val="24"/>
          <w:u w:val="single"/>
          <w:lang w:val="sr-Latn-CS"/>
        </w:rPr>
        <w:t>502)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 w:rsidRPr="002A2D9F">
        <w:rPr>
          <w:rFonts w:ascii="Cambria" w:hAnsi="Cambria"/>
          <w:sz w:val="24"/>
          <w:szCs w:val="24"/>
          <w:lang w:val="sr-Latn-CS"/>
        </w:rPr>
        <w:t xml:space="preserve">Prilivi od premije su umanjeni za </w:t>
      </w:r>
      <w:r>
        <w:rPr>
          <w:rFonts w:ascii="Cambria" w:hAnsi="Cambria"/>
          <w:sz w:val="24"/>
          <w:szCs w:val="24"/>
          <w:lang w:val="sr-Latn-CS"/>
        </w:rPr>
        <w:t>88.368 KM po osnovu prometa potraživanja prema Autocentru Nešković i za iznos 23.300 KM po osnovu potraživanja Autocentra Nešković doo Bijeljina.</w:t>
      </w:r>
    </w:p>
    <w:p w:rsidR="009E67F6" w:rsidRPr="000433E1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0433E1">
        <w:rPr>
          <w:rFonts w:ascii="Cambria" w:hAnsi="Cambria"/>
          <w:b/>
          <w:sz w:val="24"/>
          <w:szCs w:val="24"/>
          <w:u w:val="single"/>
          <w:lang w:val="sr-Latn-CS"/>
        </w:rPr>
        <w:t>NOTA 62(AOP 506)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Odlivi iz poslovnih aktivnosti su umanjeni po osnovu obaveza prema Autocentar Nešković doo Bijeljina u iznosu od 23.300 i obaveza Autocentra Nešković doo za 88.368KM.</w:t>
      </w:r>
    </w:p>
    <w:p w:rsidR="009E67F6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0433E1">
        <w:rPr>
          <w:rFonts w:ascii="Cambria" w:hAnsi="Cambria"/>
          <w:b/>
          <w:sz w:val="24"/>
          <w:szCs w:val="24"/>
          <w:u w:val="single"/>
          <w:lang w:val="sr-Latn-CS"/>
        </w:rPr>
        <w:t>NOTA 63(AOP 517)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 w:rsidRPr="000433E1">
        <w:rPr>
          <w:rFonts w:ascii="Cambria" w:hAnsi="Cambria"/>
          <w:sz w:val="24"/>
          <w:szCs w:val="24"/>
          <w:lang w:val="sr-Latn-CS"/>
        </w:rPr>
        <w:t>Prilivi po osnovu kratkoročnih plasmana</w:t>
      </w:r>
      <w:r>
        <w:rPr>
          <w:rFonts w:ascii="Cambria" w:hAnsi="Cambria"/>
          <w:sz w:val="24"/>
          <w:szCs w:val="24"/>
          <w:lang w:val="sr-Latn-CS"/>
        </w:rPr>
        <w:t xml:space="preserve"> su umanjeni za zajam Autocentra Nešković u iznosu od 880.000KM.</w:t>
      </w:r>
    </w:p>
    <w:p w:rsidR="009E67F6" w:rsidRDefault="009E67F6" w:rsidP="009E67F6">
      <w:pPr>
        <w:rPr>
          <w:rFonts w:ascii="Cambria" w:hAnsi="Cambria"/>
          <w:b/>
          <w:sz w:val="24"/>
          <w:szCs w:val="24"/>
          <w:u w:val="single"/>
          <w:lang w:val="sr-Latn-CS"/>
        </w:rPr>
      </w:pPr>
      <w:r w:rsidRPr="000433E1">
        <w:rPr>
          <w:rFonts w:ascii="Cambria" w:hAnsi="Cambria"/>
          <w:b/>
          <w:sz w:val="24"/>
          <w:szCs w:val="24"/>
          <w:u w:val="single"/>
          <w:lang w:val="sr-Latn-CS"/>
        </w:rPr>
        <w:t>NOTA 64(AOP524)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 w:rsidRPr="000433E1">
        <w:rPr>
          <w:rFonts w:ascii="Cambria" w:hAnsi="Cambria"/>
          <w:sz w:val="24"/>
          <w:szCs w:val="24"/>
          <w:lang w:val="sr-Latn-CS"/>
        </w:rPr>
        <w:t xml:space="preserve">Odlivi po osnovu investiranja su </w:t>
      </w:r>
      <w:r>
        <w:rPr>
          <w:rFonts w:ascii="Cambria" w:hAnsi="Cambria"/>
          <w:sz w:val="24"/>
          <w:szCs w:val="24"/>
          <w:lang w:val="sr-Latn-CS"/>
        </w:rPr>
        <w:t>umanjeni za 880.000 KM po osnovu zajma datog Autocentru Nešković doo Bijeljina.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lastRenderedPageBreak/>
        <w:t>Bijeljina,15.03.2020.g.                                              Direktor</w:t>
      </w:r>
    </w:p>
    <w:p w:rsidR="009E67F6" w:rsidRDefault="009E67F6" w:rsidP="009E67F6">
      <w:pPr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                                                                                       Milenko Mišanović</w:t>
      </w:r>
    </w:p>
    <w:p w:rsidR="009E67F6" w:rsidRPr="000433E1" w:rsidRDefault="009E67F6" w:rsidP="009E67F6">
      <w:pPr>
        <w:rPr>
          <w:rFonts w:ascii="Cambria" w:hAnsi="Cambria"/>
          <w:sz w:val="24"/>
          <w:szCs w:val="24"/>
          <w:lang w:val="sr-Latn-CS"/>
        </w:rPr>
      </w:pPr>
    </w:p>
    <w:p w:rsidR="009E67F6" w:rsidRDefault="009E67F6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bookmarkStart w:id="60" w:name="_GoBack"/>
      <w:bookmarkEnd w:id="60"/>
    </w:p>
    <w:p w:rsidR="007069F9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7069F9" w:rsidRPr="001A54D2" w:rsidRDefault="007069F9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B06D2F" w:rsidRPr="001A54D2" w:rsidRDefault="00B06D2F" w:rsidP="00B06D2F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</w:p>
    <w:p w:rsidR="009A51F1" w:rsidRDefault="009A51F1" w:rsidP="00B06D2F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9A51F1" w:rsidRPr="00B06D2F" w:rsidRDefault="009A51F1" w:rsidP="00B06D2F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A95492" w:rsidRDefault="00A9549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p w:rsidR="001A54D2" w:rsidRDefault="001A54D2" w:rsidP="00DD206A">
      <w:pPr>
        <w:spacing w:after="0"/>
        <w:jc w:val="both"/>
        <w:rPr>
          <w:rFonts w:asciiTheme="majorHAnsi" w:hAnsiTheme="majorHAnsi"/>
          <w:bCs/>
        </w:rPr>
      </w:pPr>
    </w:p>
    <w:sectPr w:rsidR="001A54D2" w:rsidSect="00197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7A7" w:rsidRDefault="003667A7" w:rsidP="00FD2AFC">
      <w:pPr>
        <w:spacing w:after="0" w:line="240" w:lineRule="auto"/>
      </w:pPr>
      <w:r>
        <w:separator/>
      </w:r>
    </w:p>
  </w:endnote>
  <w:endnote w:type="continuationSeparator" w:id="0">
    <w:p w:rsidR="003667A7" w:rsidRDefault="003667A7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D2" w:rsidRDefault="006E2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5" w:rsidRDefault="006E20D2" w:rsidP="003830FD">
    <w:pPr>
      <w:pStyle w:val="Footer"/>
      <w:tabs>
        <w:tab w:val="clear" w:pos="4702"/>
        <w:tab w:val="clear" w:pos="9405"/>
        <w:tab w:val="left" w:pos="6480"/>
      </w:tabs>
    </w:pPr>
    <w:r>
      <w:t xml:space="preserve">                                               Konsolidacija-Nešković osiguranje ad Bijeljina</w:t>
    </w:r>
    <w:r w:rsidR="009B37C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CE8" w:rsidRDefault="00B22CE8">
    <w:pPr>
      <w:pStyle w:val="Footer"/>
      <w:rPr>
        <w:lang w:val="sr-Latn-CS"/>
      </w:rPr>
    </w:pPr>
  </w:p>
  <w:p w:rsidR="00B22CE8" w:rsidRDefault="00B22CE8">
    <w:pPr>
      <w:pStyle w:val="Footer"/>
      <w:rPr>
        <w:lang w:val="sr-Latn-CS"/>
      </w:rPr>
    </w:pPr>
    <w:r w:rsidRPr="00B22CE8">
      <w:rPr>
        <w:lang w:val="sr-Latn-CS"/>
      </w:rPr>
      <w:ptab w:relativeTo="margin" w:alignment="center" w:leader="none"/>
    </w:r>
    <w:r>
      <w:rPr>
        <w:lang w:val="sr-Latn-CS"/>
      </w:rPr>
      <w:t>Konsolidacija –Nešković osiguranje ad Bijeljina</w:t>
    </w:r>
  </w:p>
  <w:p w:rsidR="009B37C5" w:rsidRPr="00A37FC1" w:rsidRDefault="00B22CE8">
    <w:pPr>
      <w:pStyle w:val="Footer"/>
      <w:rPr>
        <w:lang w:val="sr-Latn-CS"/>
      </w:rPr>
    </w:pPr>
    <w:r w:rsidRPr="00B22CE8">
      <w:rPr>
        <w:lang w:val="sr-Latn-C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7A7" w:rsidRDefault="003667A7" w:rsidP="00FD2AFC">
      <w:pPr>
        <w:spacing w:after="0" w:line="240" w:lineRule="auto"/>
      </w:pPr>
      <w:r>
        <w:separator/>
      </w:r>
    </w:p>
  </w:footnote>
  <w:footnote w:type="continuationSeparator" w:id="0">
    <w:p w:rsidR="003667A7" w:rsidRDefault="003667A7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D2" w:rsidRDefault="006E2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0D2" w:rsidRDefault="006E20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C5" w:rsidRDefault="0028444A" w:rsidP="0028444A">
    <w:pPr>
      <w:pStyle w:val="Header"/>
      <w:rPr>
        <w:lang w:val="sr-Latn-CS"/>
      </w:rPr>
    </w:pPr>
    <w:r>
      <w:rPr>
        <w:lang w:val="sr-Latn-CS"/>
      </w:rPr>
      <w:t xml:space="preserve">                          Note-napomene uz finansijski izvještaj za period od 01.01.2019-31.12.2019.g.</w:t>
    </w:r>
  </w:p>
  <w:p w:rsidR="0028444A" w:rsidRDefault="0028444A" w:rsidP="0028444A">
    <w:pPr>
      <w:pStyle w:val="Header"/>
      <w:rPr>
        <w:lang w:val="sr-Latn-CS"/>
      </w:rPr>
    </w:pPr>
  </w:p>
  <w:p w:rsidR="0028444A" w:rsidRPr="0028444A" w:rsidRDefault="0028444A" w:rsidP="0028444A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E42AB"/>
    <w:multiLevelType w:val="hybridMultilevel"/>
    <w:tmpl w:val="A066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17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6"/>
  </w:num>
  <w:num w:numId="15">
    <w:abstractNumId w:val="3"/>
  </w:num>
  <w:num w:numId="16">
    <w:abstractNumId w:val="14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62"/>
    <w:rsid w:val="000014DB"/>
    <w:rsid w:val="00003C5A"/>
    <w:rsid w:val="00006478"/>
    <w:rsid w:val="00007139"/>
    <w:rsid w:val="000108CB"/>
    <w:rsid w:val="00011DF9"/>
    <w:rsid w:val="00012B28"/>
    <w:rsid w:val="0001371C"/>
    <w:rsid w:val="000148DB"/>
    <w:rsid w:val="00016D87"/>
    <w:rsid w:val="0002147B"/>
    <w:rsid w:val="0002195F"/>
    <w:rsid w:val="000219A3"/>
    <w:rsid w:val="00023A99"/>
    <w:rsid w:val="000245AB"/>
    <w:rsid w:val="00026377"/>
    <w:rsid w:val="00026DC4"/>
    <w:rsid w:val="00027853"/>
    <w:rsid w:val="00032986"/>
    <w:rsid w:val="0003398E"/>
    <w:rsid w:val="00034B29"/>
    <w:rsid w:val="00034B5E"/>
    <w:rsid w:val="0003686A"/>
    <w:rsid w:val="00036D2E"/>
    <w:rsid w:val="00037A52"/>
    <w:rsid w:val="00040BD0"/>
    <w:rsid w:val="00041CC2"/>
    <w:rsid w:val="00041E33"/>
    <w:rsid w:val="0004251E"/>
    <w:rsid w:val="00046444"/>
    <w:rsid w:val="00046626"/>
    <w:rsid w:val="00047C96"/>
    <w:rsid w:val="00047FAB"/>
    <w:rsid w:val="00050B87"/>
    <w:rsid w:val="0005105D"/>
    <w:rsid w:val="00051B9B"/>
    <w:rsid w:val="00052885"/>
    <w:rsid w:val="00052BB8"/>
    <w:rsid w:val="00054BBA"/>
    <w:rsid w:val="0005763B"/>
    <w:rsid w:val="00060EFC"/>
    <w:rsid w:val="00062ECA"/>
    <w:rsid w:val="000636A6"/>
    <w:rsid w:val="00063EF8"/>
    <w:rsid w:val="00064CC4"/>
    <w:rsid w:val="000664B1"/>
    <w:rsid w:val="00066764"/>
    <w:rsid w:val="00072959"/>
    <w:rsid w:val="00074119"/>
    <w:rsid w:val="000765DA"/>
    <w:rsid w:val="00076C1A"/>
    <w:rsid w:val="000772DA"/>
    <w:rsid w:val="000773C7"/>
    <w:rsid w:val="000775B5"/>
    <w:rsid w:val="00081A36"/>
    <w:rsid w:val="00086751"/>
    <w:rsid w:val="00087661"/>
    <w:rsid w:val="00087C6B"/>
    <w:rsid w:val="0009080C"/>
    <w:rsid w:val="0009108B"/>
    <w:rsid w:val="0009144E"/>
    <w:rsid w:val="0009259D"/>
    <w:rsid w:val="00092929"/>
    <w:rsid w:val="000935AB"/>
    <w:rsid w:val="00094E23"/>
    <w:rsid w:val="00095E3D"/>
    <w:rsid w:val="00096EDD"/>
    <w:rsid w:val="000A1125"/>
    <w:rsid w:val="000A3F73"/>
    <w:rsid w:val="000A6571"/>
    <w:rsid w:val="000A65DA"/>
    <w:rsid w:val="000B208D"/>
    <w:rsid w:val="000B4814"/>
    <w:rsid w:val="000B4C3E"/>
    <w:rsid w:val="000B727B"/>
    <w:rsid w:val="000C0168"/>
    <w:rsid w:val="000C142A"/>
    <w:rsid w:val="000C2E39"/>
    <w:rsid w:val="000C4C77"/>
    <w:rsid w:val="000C4EE7"/>
    <w:rsid w:val="000C62EA"/>
    <w:rsid w:val="000C6329"/>
    <w:rsid w:val="000C7B7C"/>
    <w:rsid w:val="000D00A3"/>
    <w:rsid w:val="000D5896"/>
    <w:rsid w:val="000D5DBF"/>
    <w:rsid w:val="000D7876"/>
    <w:rsid w:val="000D7F5D"/>
    <w:rsid w:val="000E0F33"/>
    <w:rsid w:val="000E13A2"/>
    <w:rsid w:val="000E2E1C"/>
    <w:rsid w:val="000E38CC"/>
    <w:rsid w:val="000E5AC6"/>
    <w:rsid w:val="000E6B6C"/>
    <w:rsid w:val="000E757D"/>
    <w:rsid w:val="000F15B5"/>
    <w:rsid w:val="000F1E4E"/>
    <w:rsid w:val="000F4971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283E"/>
    <w:rsid w:val="0011656F"/>
    <w:rsid w:val="001168A1"/>
    <w:rsid w:val="0011783E"/>
    <w:rsid w:val="00117A43"/>
    <w:rsid w:val="00121028"/>
    <w:rsid w:val="001214E1"/>
    <w:rsid w:val="00123087"/>
    <w:rsid w:val="001240C1"/>
    <w:rsid w:val="001246F3"/>
    <w:rsid w:val="00130107"/>
    <w:rsid w:val="001337A3"/>
    <w:rsid w:val="00134C29"/>
    <w:rsid w:val="00134C98"/>
    <w:rsid w:val="001355A4"/>
    <w:rsid w:val="00135756"/>
    <w:rsid w:val="00135B59"/>
    <w:rsid w:val="001370B3"/>
    <w:rsid w:val="00141A79"/>
    <w:rsid w:val="00141E15"/>
    <w:rsid w:val="001421D5"/>
    <w:rsid w:val="00143B67"/>
    <w:rsid w:val="0014449B"/>
    <w:rsid w:val="0014688D"/>
    <w:rsid w:val="00147677"/>
    <w:rsid w:val="00151C8B"/>
    <w:rsid w:val="00152350"/>
    <w:rsid w:val="00152532"/>
    <w:rsid w:val="0015321E"/>
    <w:rsid w:val="001570E9"/>
    <w:rsid w:val="001601E1"/>
    <w:rsid w:val="0016179B"/>
    <w:rsid w:val="00163909"/>
    <w:rsid w:val="00164A60"/>
    <w:rsid w:val="001670AA"/>
    <w:rsid w:val="001670EC"/>
    <w:rsid w:val="001714B6"/>
    <w:rsid w:val="00172108"/>
    <w:rsid w:val="001732FB"/>
    <w:rsid w:val="00180FA5"/>
    <w:rsid w:val="001813EE"/>
    <w:rsid w:val="00181529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676"/>
    <w:rsid w:val="00194777"/>
    <w:rsid w:val="00195598"/>
    <w:rsid w:val="00197844"/>
    <w:rsid w:val="001A15EE"/>
    <w:rsid w:val="001A1C04"/>
    <w:rsid w:val="001A222D"/>
    <w:rsid w:val="001A2914"/>
    <w:rsid w:val="001A4DED"/>
    <w:rsid w:val="001A54D2"/>
    <w:rsid w:val="001A649B"/>
    <w:rsid w:val="001A6950"/>
    <w:rsid w:val="001A702D"/>
    <w:rsid w:val="001A78F9"/>
    <w:rsid w:val="001B302B"/>
    <w:rsid w:val="001B398D"/>
    <w:rsid w:val="001B3E32"/>
    <w:rsid w:val="001B5FEC"/>
    <w:rsid w:val="001B74E7"/>
    <w:rsid w:val="001C2A1B"/>
    <w:rsid w:val="001C3E35"/>
    <w:rsid w:val="001C4337"/>
    <w:rsid w:val="001C53FE"/>
    <w:rsid w:val="001C5ACB"/>
    <w:rsid w:val="001C6C03"/>
    <w:rsid w:val="001C7472"/>
    <w:rsid w:val="001C76AB"/>
    <w:rsid w:val="001D19C5"/>
    <w:rsid w:val="001D338B"/>
    <w:rsid w:val="001D38F3"/>
    <w:rsid w:val="001D40EB"/>
    <w:rsid w:val="001D41CE"/>
    <w:rsid w:val="001D48E8"/>
    <w:rsid w:val="001D495D"/>
    <w:rsid w:val="001D4CD4"/>
    <w:rsid w:val="001D5514"/>
    <w:rsid w:val="001D6BBF"/>
    <w:rsid w:val="001D70B3"/>
    <w:rsid w:val="001D71B8"/>
    <w:rsid w:val="001E1989"/>
    <w:rsid w:val="001E1F49"/>
    <w:rsid w:val="001E257B"/>
    <w:rsid w:val="001E25B6"/>
    <w:rsid w:val="001E2D50"/>
    <w:rsid w:val="001E4009"/>
    <w:rsid w:val="001E4858"/>
    <w:rsid w:val="001E55F0"/>
    <w:rsid w:val="001E5C9D"/>
    <w:rsid w:val="001E61AF"/>
    <w:rsid w:val="001E695B"/>
    <w:rsid w:val="001E7552"/>
    <w:rsid w:val="001E7607"/>
    <w:rsid w:val="001F06D2"/>
    <w:rsid w:val="001F43CE"/>
    <w:rsid w:val="001F54BB"/>
    <w:rsid w:val="001F713B"/>
    <w:rsid w:val="00200B88"/>
    <w:rsid w:val="00204B77"/>
    <w:rsid w:val="00204EC3"/>
    <w:rsid w:val="002120C5"/>
    <w:rsid w:val="00212935"/>
    <w:rsid w:val="0021682D"/>
    <w:rsid w:val="0022102D"/>
    <w:rsid w:val="0022414F"/>
    <w:rsid w:val="00224289"/>
    <w:rsid w:val="00224800"/>
    <w:rsid w:val="002252A8"/>
    <w:rsid w:val="002258B5"/>
    <w:rsid w:val="002269DE"/>
    <w:rsid w:val="00231CC2"/>
    <w:rsid w:val="0023304B"/>
    <w:rsid w:val="002334D9"/>
    <w:rsid w:val="0023370E"/>
    <w:rsid w:val="00234680"/>
    <w:rsid w:val="00235496"/>
    <w:rsid w:val="00235729"/>
    <w:rsid w:val="00236458"/>
    <w:rsid w:val="00237C22"/>
    <w:rsid w:val="00237E88"/>
    <w:rsid w:val="00237F5A"/>
    <w:rsid w:val="00240F6E"/>
    <w:rsid w:val="002422A3"/>
    <w:rsid w:val="0024375D"/>
    <w:rsid w:val="00246028"/>
    <w:rsid w:val="0024771A"/>
    <w:rsid w:val="002477EC"/>
    <w:rsid w:val="00247A27"/>
    <w:rsid w:val="00250B1E"/>
    <w:rsid w:val="00251C13"/>
    <w:rsid w:val="002525DD"/>
    <w:rsid w:val="00253AD6"/>
    <w:rsid w:val="0025554F"/>
    <w:rsid w:val="00260A48"/>
    <w:rsid w:val="0026376A"/>
    <w:rsid w:val="00264902"/>
    <w:rsid w:val="00264B7E"/>
    <w:rsid w:val="00264FA9"/>
    <w:rsid w:val="00267E68"/>
    <w:rsid w:val="0027001A"/>
    <w:rsid w:val="00270B97"/>
    <w:rsid w:val="00270BFC"/>
    <w:rsid w:val="00270C00"/>
    <w:rsid w:val="00272081"/>
    <w:rsid w:val="00273339"/>
    <w:rsid w:val="00276A20"/>
    <w:rsid w:val="00277C0A"/>
    <w:rsid w:val="00277DAA"/>
    <w:rsid w:val="002805B6"/>
    <w:rsid w:val="0028232C"/>
    <w:rsid w:val="00283B25"/>
    <w:rsid w:val="002843C3"/>
    <w:rsid w:val="0028444A"/>
    <w:rsid w:val="00284576"/>
    <w:rsid w:val="0028613E"/>
    <w:rsid w:val="00287CD0"/>
    <w:rsid w:val="002912E6"/>
    <w:rsid w:val="002920E0"/>
    <w:rsid w:val="002946A2"/>
    <w:rsid w:val="00294908"/>
    <w:rsid w:val="00294E89"/>
    <w:rsid w:val="002A1A75"/>
    <w:rsid w:val="002A364E"/>
    <w:rsid w:val="002A60C4"/>
    <w:rsid w:val="002A76C2"/>
    <w:rsid w:val="002B28D0"/>
    <w:rsid w:val="002B6D77"/>
    <w:rsid w:val="002B7702"/>
    <w:rsid w:val="002B77F0"/>
    <w:rsid w:val="002B7F21"/>
    <w:rsid w:val="002C012C"/>
    <w:rsid w:val="002C088E"/>
    <w:rsid w:val="002C1B2F"/>
    <w:rsid w:val="002C2F17"/>
    <w:rsid w:val="002C40DD"/>
    <w:rsid w:val="002C4745"/>
    <w:rsid w:val="002C7609"/>
    <w:rsid w:val="002C79B8"/>
    <w:rsid w:val="002D0796"/>
    <w:rsid w:val="002D1BE4"/>
    <w:rsid w:val="002D2501"/>
    <w:rsid w:val="002D40BE"/>
    <w:rsid w:val="002D422A"/>
    <w:rsid w:val="002D4830"/>
    <w:rsid w:val="002D4D18"/>
    <w:rsid w:val="002E1585"/>
    <w:rsid w:val="002E3EDC"/>
    <w:rsid w:val="002E4DC5"/>
    <w:rsid w:val="002E553F"/>
    <w:rsid w:val="002E67BB"/>
    <w:rsid w:val="002F01B3"/>
    <w:rsid w:val="002F0A99"/>
    <w:rsid w:val="002F1070"/>
    <w:rsid w:val="002F35AC"/>
    <w:rsid w:val="002F4158"/>
    <w:rsid w:val="0030207B"/>
    <w:rsid w:val="00302B45"/>
    <w:rsid w:val="00302F1C"/>
    <w:rsid w:val="003056DC"/>
    <w:rsid w:val="003072C3"/>
    <w:rsid w:val="00310CA9"/>
    <w:rsid w:val="00311F69"/>
    <w:rsid w:val="00313D22"/>
    <w:rsid w:val="003140DE"/>
    <w:rsid w:val="00316185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573"/>
    <w:rsid w:val="00324C39"/>
    <w:rsid w:val="003264D9"/>
    <w:rsid w:val="00326BFD"/>
    <w:rsid w:val="00330D36"/>
    <w:rsid w:val="00332F58"/>
    <w:rsid w:val="00332FD8"/>
    <w:rsid w:val="00333F57"/>
    <w:rsid w:val="00335145"/>
    <w:rsid w:val="00336793"/>
    <w:rsid w:val="003369D0"/>
    <w:rsid w:val="00336D71"/>
    <w:rsid w:val="0033719F"/>
    <w:rsid w:val="003417F5"/>
    <w:rsid w:val="00343337"/>
    <w:rsid w:val="00344C7C"/>
    <w:rsid w:val="00345233"/>
    <w:rsid w:val="00346243"/>
    <w:rsid w:val="0034688C"/>
    <w:rsid w:val="0035221C"/>
    <w:rsid w:val="0035389C"/>
    <w:rsid w:val="00354AAB"/>
    <w:rsid w:val="00354D8C"/>
    <w:rsid w:val="00354E6E"/>
    <w:rsid w:val="00361211"/>
    <w:rsid w:val="00361B77"/>
    <w:rsid w:val="00362832"/>
    <w:rsid w:val="00362919"/>
    <w:rsid w:val="00362F41"/>
    <w:rsid w:val="003645DD"/>
    <w:rsid w:val="003646F7"/>
    <w:rsid w:val="003667A7"/>
    <w:rsid w:val="00370C3A"/>
    <w:rsid w:val="00370EED"/>
    <w:rsid w:val="00371769"/>
    <w:rsid w:val="00371A1E"/>
    <w:rsid w:val="00372301"/>
    <w:rsid w:val="00375DF9"/>
    <w:rsid w:val="003778C1"/>
    <w:rsid w:val="003830F4"/>
    <w:rsid w:val="003830FD"/>
    <w:rsid w:val="00387326"/>
    <w:rsid w:val="00390929"/>
    <w:rsid w:val="003916FC"/>
    <w:rsid w:val="00391909"/>
    <w:rsid w:val="0039221F"/>
    <w:rsid w:val="00392FFA"/>
    <w:rsid w:val="00394075"/>
    <w:rsid w:val="0039588C"/>
    <w:rsid w:val="0039606E"/>
    <w:rsid w:val="003A0CBE"/>
    <w:rsid w:val="003A16B7"/>
    <w:rsid w:val="003A3198"/>
    <w:rsid w:val="003A5F89"/>
    <w:rsid w:val="003A625C"/>
    <w:rsid w:val="003A7CB3"/>
    <w:rsid w:val="003B3152"/>
    <w:rsid w:val="003B4CB2"/>
    <w:rsid w:val="003B5AD6"/>
    <w:rsid w:val="003B5E23"/>
    <w:rsid w:val="003B62D1"/>
    <w:rsid w:val="003B7858"/>
    <w:rsid w:val="003B79DE"/>
    <w:rsid w:val="003B7AC6"/>
    <w:rsid w:val="003C19FD"/>
    <w:rsid w:val="003C2270"/>
    <w:rsid w:val="003C2F64"/>
    <w:rsid w:val="003C31E8"/>
    <w:rsid w:val="003C44F8"/>
    <w:rsid w:val="003C490A"/>
    <w:rsid w:val="003C7664"/>
    <w:rsid w:val="003D10C9"/>
    <w:rsid w:val="003D209A"/>
    <w:rsid w:val="003D5754"/>
    <w:rsid w:val="003D74D6"/>
    <w:rsid w:val="003D77ED"/>
    <w:rsid w:val="003E1635"/>
    <w:rsid w:val="003E1921"/>
    <w:rsid w:val="003E272F"/>
    <w:rsid w:val="003E2993"/>
    <w:rsid w:val="003E3B7F"/>
    <w:rsid w:val="003E5D4F"/>
    <w:rsid w:val="003E696D"/>
    <w:rsid w:val="003E7430"/>
    <w:rsid w:val="003E7DCD"/>
    <w:rsid w:val="003F0DCA"/>
    <w:rsid w:val="003F1F9C"/>
    <w:rsid w:val="003F247C"/>
    <w:rsid w:val="003F34E4"/>
    <w:rsid w:val="003F4CBF"/>
    <w:rsid w:val="003F4D20"/>
    <w:rsid w:val="003F7656"/>
    <w:rsid w:val="003F78D6"/>
    <w:rsid w:val="00401202"/>
    <w:rsid w:val="00402663"/>
    <w:rsid w:val="00402853"/>
    <w:rsid w:val="00402A07"/>
    <w:rsid w:val="0040313D"/>
    <w:rsid w:val="00405770"/>
    <w:rsid w:val="00406058"/>
    <w:rsid w:val="0040666D"/>
    <w:rsid w:val="00406AF4"/>
    <w:rsid w:val="00412B14"/>
    <w:rsid w:val="00414B4B"/>
    <w:rsid w:val="00417561"/>
    <w:rsid w:val="00417DAD"/>
    <w:rsid w:val="00417DEC"/>
    <w:rsid w:val="00420F11"/>
    <w:rsid w:val="004211DA"/>
    <w:rsid w:val="00421257"/>
    <w:rsid w:val="004230A3"/>
    <w:rsid w:val="00424407"/>
    <w:rsid w:val="00426D3D"/>
    <w:rsid w:val="00431DD7"/>
    <w:rsid w:val="004329B8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CE7"/>
    <w:rsid w:val="00442F08"/>
    <w:rsid w:val="004462AD"/>
    <w:rsid w:val="00447915"/>
    <w:rsid w:val="004508F3"/>
    <w:rsid w:val="004509CE"/>
    <w:rsid w:val="00451D5E"/>
    <w:rsid w:val="004527D5"/>
    <w:rsid w:val="0045521B"/>
    <w:rsid w:val="004552D5"/>
    <w:rsid w:val="00455D28"/>
    <w:rsid w:val="00455DB9"/>
    <w:rsid w:val="00460A4A"/>
    <w:rsid w:val="00461A65"/>
    <w:rsid w:val="00462003"/>
    <w:rsid w:val="00463ACA"/>
    <w:rsid w:val="00463D15"/>
    <w:rsid w:val="00470611"/>
    <w:rsid w:val="00471259"/>
    <w:rsid w:val="004721DA"/>
    <w:rsid w:val="00475236"/>
    <w:rsid w:val="004776D4"/>
    <w:rsid w:val="00480A76"/>
    <w:rsid w:val="0048129E"/>
    <w:rsid w:val="004837E2"/>
    <w:rsid w:val="004839D5"/>
    <w:rsid w:val="004901AF"/>
    <w:rsid w:val="004924A6"/>
    <w:rsid w:val="004925FE"/>
    <w:rsid w:val="00494E5F"/>
    <w:rsid w:val="004A21CD"/>
    <w:rsid w:val="004A4223"/>
    <w:rsid w:val="004A4BE9"/>
    <w:rsid w:val="004A6794"/>
    <w:rsid w:val="004A783B"/>
    <w:rsid w:val="004B22DC"/>
    <w:rsid w:val="004B2A38"/>
    <w:rsid w:val="004B3EDD"/>
    <w:rsid w:val="004B5200"/>
    <w:rsid w:val="004B540D"/>
    <w:rsid w:val="004B74BB"/>
    <w:rsid w:val="004B7F46"/>
    <w:rsid w:val="004C2516"/>
    <w:rsid w:val="004C33B9"/>
    <w:rsid w:val="004C354D"/>
    <w:rsid w:val="004C60BC"/>
    <w:rsid w:val="004C6A50"/>
    <w:rsid w:val="004D0436"/>
    <w:rsid w:val="004D0C05"/>
    <w:rsid w:val="004D3B80"/>
    <w:rsid w:val="004D4836"/>
    <w:rsid w:val="004D4904"/>
    <w:rsid w:val="004D6DD9"/>
    <w:rsid w:val="004E280C"/>
    <w:rsid w:val="004E36AB"/>
    <w:rsid w:val="004E5743"/>
    <w:rsid w:val="004E66FE"/>
    <w:rsid w:val="004E7805"/>
    <w:rsid w:val="004F0EAC"/>
    <w:rsid w:val="004F1436"/>
    <w:rsid w:val="004F1928"/>
    <w:rsid w:val="004F1C51"/>
    <w:rsid w:val="004F1F54"/>
    <w:rsid w:val="004F3E97"/>
    <w:rsid w:val="004F4C7F"/>
    <w:rsid w:val="004F74C6"/>
    <w:rsid w:val="005004F8"/>
    <w:rsid w:val="00501F75"/>
    <w:rsid w:val="00502DE7"/>
    <w:rsid w:val="0050324C"/>
    <w:rsid w:val="00506436"/>
    <w:rsid w:val="005064AC"/>
    <w:rsid w:val="00507A01"/>
    <w:rsid w:val="00510A54"/>
    <w:rsid w:val="00511AE1"/>
    <w:rsid w:val="00511B8B"/>
    <w:rsid w:val="00511C30"/>
    <w:rsid w:val="0051235D"/>
    <w:rsid w:val="00512DBC"/>
    <w:rsid w:val="00513FB1"/>
    <w:rsid w:val="00515B8D"/>
    <w:rsid w:val="00521D51"/>
    <w:rsid w:val="00524899"/>
    <w:rsid w:val="00524D46"/>
    <w:rsid w:val="00524FF0"/>
    <w:rsid w:val="00527F56"/>
    <w:rsid w:val="00532295"/>
    <w:rsid w:val="00535EED"/>
    <w:rsid w:val="00536CBD"/>
    <w:rsid w:val="005400F3"/>
    <w:rsid w:val="00541715"/>
    <w:rsid w:val="00546772"/>
    <w:rsid w:val="00550793"/>
    <w:rsid w:val="00550A8F"/>
    <w:rsid w:val="00554D99"/>
    <w:rsid w:val="00555334"/>
    <w:rsid w:val="00555A6A"/>
    <w:rsid w:val="005565B8"/>
    <w:rsid w:val="005567C7"/>
    <w:rsid w:val="00556BA9"/>
    <w:rsid w:val="0055799C"/>
    <w:rsid w:val="005609FD"/>
    <w:rsid w:val="00563F7A"/>
    <w:rsid w:val="005643A9"/>
    <w:rsid w:val="005657E6"/>
    <w:rsid w:val="0057192F"/>
    <w:rsid w:val="005735FA"/>
    <w:rsid w:val="00576379"/>
    <w:rsid w:val="00577925"/>
    <w:rsid w:val="00581584"/>
    <w:rsid w:val="00582D63"/>
    <w:rsid w:val="00583E6F"/>
    <w:rsid w:val="00584452"/>
    <w:rsid w:val="00584566"/>
    <w:rsid w:val="00585640"/>
    <w:rsid w:val="0058710D"/>
    <w:rsid w:val="00590DE4"/>
    <w:rsid w:val="00591E04"/>
    <w:rsid w:val="00593759"/>
    <w:rsid w:val="00594988"/>
    <w:rsid w:val="00595837"/>
    <w:rsid w:val="00596C62"/>
    <w:rsid w:val="005A07E1"/>
    <w:rsid w:val="005A087F"/>
    <w:rsid w:val="005A2308"/>
    <w:rsid w:val="005A2B42"/>
    <w:rsid w:val="005A2DCE"/>
    <w:rsid w:val="005A6B23"/>
    <w:rsid w:val="005B070E"/>
    <w:rsid w:val="005B0B7D"/>
    <w:rsid w:val="005B4282"/>
    <w:rsid w:val="005B45D3"/>
    <w:rsid w:val="005B4992"/>
    <w:rsid w:val="005B5FB3"/>
    <w:rsid w:val="005B6011"/>
    <w:rsid w:val="005B63D9"/>
    <w:rsid w:val="005B7061"/>
    <w:rsid w:val="005C184C"/>
    <w:rsid w:val="005C2383"/>
    <w:rsid w:val="005C4DA6"/>
    <w:rsid w:val="005C7981"/>
    <w:rsid w:val="005D0653"/>
    <w:rsid w:val="005D0C26"/>
    <w:rsid w:val="005D40C4"/>
    <w:rsid w:val="005D56D6"/>
    <w:rsid w:val="005D64D7"/>
    <w:rsid w:val="005D6844"/>
    <w:rsid w:val="005D7C8F"/>
    <w:rsid w:val="005E15A1"/>
    <w:rsid w:val="005E60A7"/>
    <w:rsid w:val="005E6896"/>
    <w:rsid w:val="005F14EA"/>
    <w:rsid w:val="005F2791"/>
    <w:rsid w:val="005F3994"/>
    <w:rsid w:val="005F45FD"/>
    <w:rsid w:val="005F5025"/>
    <w:rsid w:val="005F5C1F"/>
    <w:rsid w:val="005F5FAB"/>
    <w:rsid w:val="005F7FC8"/>
    <w:rsid w:val="00600220"/>
    <w:rsid w:val="00601026"/>
    <w:rsid w:val="006013C8"/>
    <w:rsid w:val="006013CB"/>
    <w:rsid w:val="006027C6"/>
    <w:rsid w:val="00604607"/>
    <w:rsid w:val="00604C3D"/>
    <w:rsid w:val="00604EBA"/>
    <w:rsid w:val="00606650"/>
    <w:rsid w:val="006067F2"/>
    <w:rsid w:val="006101E1"/>
    <w:rsid w:val="00614609"/>
    <w:rsid w:val="00614BAB"/>
    <w:rsid w:val="00614BC2"/>
    <w:rsid w:val="006222A1"/>
    <w:rsid w:val="00624CF2"/>
    <w:rsid w:val="0062695A"/>
    <w:rsid w:val="00627A68"/>
    <w:rsid w:val="00631FE8"/>
    <w:rsid w:val="0063248A"/>
    <w:rsid w:val="00632D37"/>
    <w:rsid w:val="00636C9F"/>
    <w:rsid w:val="006375AE"/>
    <w:rsid w:val="00637DA8"/>
    <w:rsid w:val="006406F5"/>
    <w:rsid w:val="0064179F"/>
    <w:rsid w:val="00641ACE"/>
    <w:rsid w:val="00642640"/>
    <w:rsid w:val="00642914"/>
    <w:rsid w:val="00645C0C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7743"/>
    <w:rsid w:val="00657A2E"/>
    <w:rsid w:val="0066086E"/>
    <w:rsid w:val="006627B2"/>
    <w:rsid w:val="00667EF3"/>
    <w:rsid w:val="00670ACF"/>
    <w:rsid w:val="00670C1B"/>
    <w:rsid w:val="00671B3F"/>
    <w:rsid w:val="00672AB2"/>
    <w:rsid w:val="00675280"/>
    <w:rsid w:val="00676083"/>
    <w:rsid w:val="00677273"/>
    <w:rsid w:val="00680665"/>
    <w:rsid w:val="00682491"/>
    <w:rsid w:val="00695679"/>
    <w:rsid w:val="006969BD"/>
    <w:rsid w:val="00696B07"/>
    <w:rsid w:val="00697A38"/>
    <w:rsid w:val="006A39D6"/>
    <w:rsid w:val="006A725E"/>
    <w:rsid w:val="006A7F70"/>
    <w:rsid w:val="006B1AFA"/>
    <w:rsid w:val="006B4401"/>
    <w:rsid w:val="006B517D"/>
    <w:rsid w:val="006B7386"/>
    <w:rsid w:val="006C131F"/>
    <w:rsid w:val="006C494D"/>
    <w:rsid w:val="006C49C2"/>
    <w:rsid w:val="006C4A4E"/>
    <w:rsid w:val="006C61CC"/>
    <w:rsid w:val="006C637A"/>
    <w:rsid w:val="006C7BF7"/>
    <w:rsid w:val="006D066C"/>
    <w:rsid w:val="006D24B5"/>
    <w:rsid w:val="006D2C69"/>
    <w:rsid w:val="006D318F"/>
    <w:rsid w:val="006D40C4"/>
    <w:rsid w:val="006D52F7"/>
    <w:rsid w:val="006D6150"/>
    <w:rsid w:val="006D68A8"/>
    <w:rsid w:val="006D75F0"/>
    <w:rsid w:val="006D77D5"/>
    <w:rsid w:val="006D7B59"/>
    <w:rsid w:val="006E20D2"/>
    <w:rsid w:val="006E2913"/>
    <w:rsid w:val="006E35A0"/>
    <w:rsid w:val="006E5490"/>
    <w:rsid w:val="006E6B81"/>
    <w:rsid w:val="006E6EE9"/>
    <w:rsid w:val="006F067A"/>
    <w:rsid w:val="006F0BB6"/>
    <w:rsid w:val="006F2943"/>
    <w:rsid w:val="006F45C6"/>
    <w:rsid w:val="006F7B8F"/>
    <w:rsid w:val="00700894"/>
    <w:rsid w:val="00701F88"/>
    <w:rsid w:val="0070217D"/>
    <w:rsid w:val="0070262F"/>
    <w:rsid w:val="00702822"/>
    <w:rsid w:val="0070487F"/>
    <w:rsid w:val="00704CF3"/>
    <w:rsid w:val="007058AB"/>
    <w:rsid w:val="007069F9"/>
    <w:rsid w:val="00706A94"/>
    <w:rsid w:val="00710464"/>
    <w:rsid w:val="007104EE"/>
    <w:rsid w:val="0071054F"/>
    <w:rsid w:val="00711263"/>
    <w:rsid w:val="00714634"/>
    <w:rsid w:val="00716BA1"/>
    <w:rsid w:val="00716FAD"/>
    <w:rsid w:val="00717A6A"/>
    <w:rsid w:val="00721466"/>
    <w:rsid w:val="00721666"/>
    <w:rsid w:val="007217D9"/>
    <w:rsid w:val="00721D8D"/>
    <w:rsid w:val="007221E5"/>
    <w:rsid w:val="00722226"/>
    <w:rsid w:val="00722485"/>
    <w:rsid w:val="0072542E"/>
    <w:rsid w:val="00725E17"/>
    <w:rsid w:val="007263DF"/>
    <w:rsid w:val="007279EA"/>
    <w:rsid w:val="00730020"/>
    <w:rsid w:val="00733733"/>
    <w:rsid w:val="00734294"/>
    <w:rsid w:val="00742ECB"/>
    <w:rsid w:val="007441A3"/>
    <w:rsid w:val="00744B09"/>
    <w:rsid w:val="007453E5"/>
    <w:rsid w:val="007467E7"/>
    <w:rsid w:val="00750E82"/>
    <w:rsid w:val="0075161A"/>
    <w:rsid w:val="007518D6"/>
    <w:rsid w:val="00752B2F"/>
    <w:rsid w:val="007530B5"/>
    <w:rsid w:val="00754CE3"/>
    <w:rsid w:val="00756784"/>
    <w:rsid w:val="00757B4E"/>
    <w:rsid w:val="007616AD"/>
    <w:rsid w:val="00762D8A"/>
    <w:rsid w:val="0076355A"/>
    <w:rsid w:val="0076377A"/>
    <w:rsid w:val="007649D3"/>
    <w:rsid w:val="007659A3"/>
    <w:rsid w:val="007659B4"/>
    <w:rsid w:val="007704D6"/>
    <w:rsid w:val="007719E0"/>
    <w:rsid w:val="00774688"/>
    <w:rsid w:val="00776104"/>
    <w:rsid w:val="007762B1"/>
    <w:rsid w:val="00776AD9"/>
    <w:rsid w:val="007843DB"/>
    <w:rsid w:val="0078591A"/>
    <w:rsid w:val="00786665"/>
    <w:rsid w:val="00786BD9"/>
    <w:rsid w:val="00787AE2"/>
    <w:rsid w:val="00787B6D"/>
    <w:rsid w:val="00790A4B"/>
    <w:rsid w:val="0079141C"/>
    <w:rsid w:val="007928A3"/>
    <w:rsid w:val="00793E06"/>
    <w:rsid w:val="00794899"/>
    <w:rsid w:val="00795C68"/>
    <w:rsid w:val="00796AD6"/>
    <w:rsid w:val="007A13BC"/>
    <w:rsid w:val="007A2C41"/>
    <w:rsid w:val="007A4EB7"/>
    <w:rsid w:val="007A7A26"/>
    <w:rsid w:val="007B0C01"/>
    <w:rsid w:val="007B17B6"/>
    <w:rsid w:val="007B1A2A"/>
    <w:rsid w:val="007B4450"/>
    <w:rsid w:val="007C070D"/>
    <w:rsid w:val="007C2990"/>
    <w:rsid w:val="007C4566"/>
    <w:rsid w:val="007C489B"/>
    <w:rsid w:val="007C4D1C"/>
    <w:rsid w:val="007C69C9"/>
    <w:rsid w:val="007C6A7E"/>
    <w:rsid w:val="007C71DA"/>
    <w:rsid w:val="007C732A"/>
    <w:rsid w:val="007C7684"/>
    <w:rsid w:val="007D1917"/>
    <w:rsid w:val="007D3D43"/>
    <w:rsid w:val="007D4043"/>
    <w:rsid w:val="007D55A0"/>
    <w:rsid w:val="007D572D"/>
    <w:rsid w:val="007E0F88"/>
    <w:rsid w:val="007E1CA7"/>
    <w:rsid w:val="007E307A"/>
    <w:rsid w:val="007E539F"/>
    <w:rsid w:val="007E5747"/>
    <w:rsid w:val="007E75B6"/>
    <w:rsid w:val="007E78BD"/>
    <w:rsid w:val="007F0519"/>
    <w:rsid w:val="007F1D25"/>
    <w:rsid w:val="007F1EC4"/>
    <w:rsid w:val="007F1F8D"/>
    <w:rsid w:val="007F35A4"/>
    <w:rsid w:val="007F5A67"/>
    <w:rsid w:val="007F5B44"/>
    <w:rsid w:val="007F6EF7"/>
    <w:rsid w:val="008000A9"/>
    <w:rsid w:val="008006DB"/>
    <w:rsid w:val="00804C7A"/>
    <w:rsid w:val="00807814"/>
    <w:rsid w:val="008108E1"/>
    <w:rsid w:val="00811D35"/>
    <w:rsid w:val="008126B0"/>
    <w:rsid w:val="00812718"/>
    <w:rsid w:val="00812EE2"/>
    <w:rsid w:val="00817BE2"/>
    <w:rsid w:val="00817BEF"/>
    <w:rsid w:val="00820059"/>
    <w:rsid w:val="008206FC"/>
    <w:rsid w:val="00820E7B"/>
    <w:rsid w:val="008221CE"/>
    <w:rsid w:val="00822252"/>
    <w:rsid w:val="00822F09"/>
    <w:rsid w:val="00823026"/>
    <w:rsid w:val="00825831"/>
    <w:rsid w:val="00826D0F"/>
    <w:rsid w:val="008275EA"/>
    <w:rsid w:val="008314A1"/>
    <w:rsid w:val="00831CCC"/>
    <w:rsid w:val="00831F39"/>
    <w:rsid w:val="008326A9"/>
    <w:rsid w:val="00834844"/>
    <w:rsid w:val="0083758E"/>
    <w:rsid w:val="008400A6"/>
    <w:rsid w:val="008401F8"/>
    <w:rsid w:val="008402B5"/>
    <w:rsid w:val="00840610"/>
    <w:rsid w:val="00841D47"/>
    <w:rsid w:val="00842239"/>
    <w:rsid w:val="00844865"/>
    <w:rsid w:val="00844DFA"/>
    <w:rsid w:val="0084798B"/>
    <w:rsid w:val="00847D86"/>
    <w:rsid w:val="0085032A"/>
    <w:rsid w:val="0085094E"/>
    <w:rsid w:val="00851EE5"/>
    <w:rsid w:val="008521DB"/>
    <w:rsid w:val="00852512"/>
    <w:rsid w:val="00853242"/>
    <w:rsid w:val="00853E07"/>
    <w:rsid w:val="008542C9"/>
    <w:rsid w:val="00855503"/>
    <w:rsid w:val="00857C91"/>
    <w:rsid w:val="00857D36"/>
    <w:rsid w:val="008609CF"/>
    <w:rsid w:val="0086106D"/>
    <w:rsid w:val="008638D0"/>
    <w:rsid w:val="00865590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6125"/>
    <w:rsid w:val="00876384"/>
    <w:rsid w:val="00876C6B"/>
    <w:rsid w:val="00877192"/>
    <w:rsid w:val="0088060C"/>
    <w:rsid w:val="00881EBA"/>
    <w:rsid w:val="00882F20"/>
    <w:rsid w:val="0088504A"/>
    <w:rsid w:val="00886A80"/>
    <w:rsid w:val="008874AA"/>
    <w:rsid w:val="0089159D"/>
    <w:rsid w:val="008928DD"/>
    <w:rsid w:val="0089335A"/>
    <w:rsid w:val="00893F72"/>
    <w:rsid w:val="008946B4"/>
    <w:rsid w:val="00895011"/>
    <w:rsid w:val="00895501"/>
    <w:rsid w:val="00897F41"/>
    <w:rsid w:val="008A0EDA"/>
    <w:rsid w:val="008A1C77"/>
    <w:rsid w:val="008A2C4E"/>
    <w:rsid w:val="008A3FE8"/>
    <w:rsid w:val="008A5C70"/>
    <w:rsid w:val="008A5D24"/>
    <w:rsid w:val="008A6149"/>
    <w:rsid w:val="008A6A65"/>
    <w:rsid w:val="008B052F"/>
    <w:rsid w:val="008B2C99"/>
    <w:rsid w:val="008B34E9"/>
    <w:rsid w:val="008B5DB1"/>
    <w:rsid w:val="008C1ADB"/>
    <w:rsid w:val="008C1D7E"/>
    <w:rsid w:val="008D0FB5"/>
    <w:rsid w:val="008D1048"/>
    <w:rsid w:val="008D5CA5"/>
    <w:rsid w:val="008D6F78"/>
    <w:rsid w:val="008D71CA"/>
    <w:rsid w:val="008E08FC"/>
    <w:rsid w:val="008E0A09"/>
    <w:rsid w:val="008E181E"/>
    <w:rsid w:val="008E2978"/>
    <w:rsid w:val="008E43FD"/>
    <w:rsid w:val="008E52F0"/>
    <w:rsid w:val="008E5895"/>
    <w:rsid w:val="008E5AE1"/>
    <w:rsid w:val="008E6AA3"/>
    <w:rsid w:val="008F1CF4"/>
    <w:rsid w:val="008F27D0"/>
    <w:rsid w:val="008F2F70"/>
    <w:rsid w:val="008F722C"/>
    <w:rsid w:val="00900B04"/>
    <w:rsid w:val="00901841"/>
    <w:rsid w:val="009032F5"/>
    <w:rsid w:val="009033A5"/>
    <w:rsid w:val="00903DD8"/>
    <w:rsid w:val="00905B3F"/>
    <w:rsid w:val="009060DE"/>
    <w:rsid w:val="00906BCC"/>
    <w:rsid w:val="00906F29"/>
    <w:rsid w:val="00912B53"/>
    <w:rsid w:val="00912DC4"/>
    <w:rsid w:val="009131CD"/>
    <w:rsid w:val="00913944"/>
    <w:rsid w:val="00915173"/>
    <w:rsid w:val="009156E4"/>
    <w:rsid w:val="009161FC"/>
    <w:rsid w:val="00921546"/>
    <w:rsid w:val="009219CC"/>
    <w:rsid w:val="00922FFE"/>
    <w:rsid w:val="009232EC"/>
    <w:rsid w:val="00923E71"/>
    <w:rsid w:val="00924616"/>
    <w:rsid w:val="009247C8"/>
    <w:rsid w:val="00926EBA"/>
    <w:rsid w:val="009279E5"/>
    <w:rsid w:val="00930A9E"/>
    <w:rsid w:val="009317CC"/>
    <w:rsid w:val="009325B6"/>
    <w:rsid w:val="0093320A"/>
    <w:rsid w:val="00933371"/>
    <w:rsid w:val="00934A79"/>
    <w:rsid w:val="00934D21"/>
    <w:rsid w:val="00936517"/>
    <w:rsid w:val="009370CD"/>
    <w:rsid w:val="00940DD1"/>
    <w:rsid w:val="00942669"/>
    <w:rsid w:val="00943661"/>
    <w:rsid w:val="00944708"/>
    <w:rsid w:val="0095030B"/>
    <w:rsid w:val="0095094D"/>
    <w:rsid w:val="009532B3"/>
    <w:rsid w:val="00954DFA"/>
    <w:rsid w:val="009551A3"/>
    <w:rsid w:val="009557A9"/>
    <w:rsid w:val="00955E0D"/>
    <w:rsid w:val="00955F9C"/>
    <w:rsid w:val="00957108"/>
    <w:rsid w:val="0096219C"/>
    <w:rsid w:val="00962D1E"/>
    <w:rsid w:val="00963E74"/>
    <w:rsid w:val="00965B2E"/>
    <w:rsid w:val="00965E2C"/>
    <w:rsid w:val="00967726"/>
    <w:rsid w:val="00973A98"/>
    <w:rsid w:val="00973BA7"/>
    <w:rsid w:val="00974116"/>
    <w:rsid w:val="00974F47"/>
    <w:rsid w:val="00975863"/>
    <w:rsid w:val="009758FB"/>
    <w:rsid w:val="009767AA"/>
    <w:rsid w:val="00976E68"/>
    <w:rsid w:val="00980D50"/>
    <w:rsid w:val="00981C21"/>
    <w:rsid w:val="00983D55"/>
    <w:rsid w:val="009867C1"/>
    <w:rsid w:val="009875D7"/>
    <w:rsid w:val="0099063F"/>
    <w:rsid w:val="009914EB"/>
    <w:rsid w:val="0099169B"/>
    <w:rsid w:val="0099416B"/>
    <w:rsid w:val="00995FBB"/>
    <w:rsid w:val="009A184C"/>
    <w:rsid w:val="009A2E3F"/>
    <w:rsid w:val="009A361B"/>
    <w:rsid w:val="009A3ED4"/>
    <w:rsid w:val="009A3F8E"/>
    <w:rsid w:val="009A427D"/>
    <w:rsid w:val="009A46DD"/>
    <w:rsid w:val="009A4E1B"/>
    <w:rsid w:val="009A50E4"/>
    <w:rsid w:val="009A51F1"/>
    <w:rsid w:val="009A601B"/>
    <w:rsid w:val="009A621C"/>
    <w:rsid w:val="009A79A4"/>
    <w:rsid w:val="009A7F61"/>
    <w:rsid w:val="009B06CF"/>
    <w:rsid w:val="009B1839"/>
    <w:rsid w:val="009B2B1A"/>
    <w:rsid w:val="009B37C5"/>
    <w:rsid w:val="009B5372"/>
    <w:rsid w:val="009B53FA"/>
    <w:rsid w:val="009B5647"/>
    <w:rsid w:val="009B5D40"/>
    <w:rsid w:val="009B70E1"/>
    <w:rsid w:val="009B791E"/>
    <w:rsid w:val="009B7ED9"/>
    <w:rsid w:val="009B7FAB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7436"/>
    <w:rsid w:val="009C7C2F"/>
    <w:rsid w:val="009D01CF"/>
    <w:rsid w:val="009D337C"/>
    <w:rsid w:val="009D502C"/>
    <w:rsid w:val="009D6B79"/>
    <w:rsid w:val="009D6DB9"/>
    <w:rsid w:val="009D781F"/>
    <w:rsid w:val="009D78BD"/>
    <w:rsid w:val="009E125D"/>
    <w:rsid w:val="009E19AE"/>
    <w:rsid w:val="009E1A31"/>
    <w:rsid w:val="009E2E35"/>
    <w:rsid w:val="009E3045"/>
    <w:rsid w:val="009E348B"/>
    <w:rsid w:val="009E41C0"/>
    <w:rsid w:val="009E44FE"/>
    <w:rsid w:val="009E5079"/>
    <w:rsid w:val="009E532A"/>
    <w:rsid w:val="009E53FC"/>
    <w:rsid w:val="009E5CBD"/>
    <w:rsid w:val="009E67F6"/>
    <w:rsid w:val="009E7843"/>
    <w:rsid w:val="009F07A8"/>
    <w:rsid w:val="009F0E24"/>
    <w:rsid w:val="009F10E9"/>
    <w:rsid w:val="009F67E7"/>
    <w:rsid w:val="009F6D7E"/>
    <w:rsid w:val="009F6F95"/>
    <w:rsid w:val="009F7119"/>
    <w:rsid w:val="009F74D1"/>
    <w:rsid w:val="00A00FFD"/>
    <w:rsid w:val="00A01A9A"/>
    <w:rsid w:val="00A01E0F"/>
    <w:rsid w:val="00A02239"/>
    <w:rsid w:val="00A022D4"/>
    <w:rsid w:val="00A027F2"/>
    <w:rsid w:val="00A0363B"/>
    <w:rsid w:val="00A044A4"/>
    <w:rsid w:val="00A04542"/>
    <w:rsid w:val="00A0458A"/>
    <w:rsid w:val="00A060EB"/>
    <w:rsid w:val="00A10FF5"/>
    <w:rsid w:val="00A13A5B"/>
    <w:rsid w:val="00A14302"/>
    <w:rsid w:val="00A149F2"/>
    <w:rsid w:val="00A154F6"/>
    <w:rsid w:val="00A17023"/>
    <w:rsid w:val="00A17487"/>
    <w:rsid w:val="00A21D9E"/>
    <w:rsid w:val="00A222DC"/>
    <w:rsid w:val="00A25993"/>
    <w:rsid w:val="00A25BEF"/>
    <w:rsid w:val="00A26291"/>
    <w:rsid w:val="00A26D13"/>
    <w:rsid w:val="00A274B9"/>
    <w:rsid w:val="00A32688"/>
    <w:rsid w:val="00A34AD3"/>
    <w:rsid w:val="00A34E36"/>
    <w:rsid w:val="00A36658"/>
    <w:rsid w:val="00A37528"/>
    <w:rsid w:val="00A37FC1"/>
    <w:rsid w:val="00A40466"/>
    <w:rsid w:val="00A40807"/>
    <w:rsid w:val="00A42D93"/>
    <w:rsid w:val="00A45103"/>
    <w:rsid w:val="00A455E0"/>
    <w:rsid w:val="00A47E70"/>
    <w:rsid w:val="00A510B8"/>
    <w:rsid w:val="00A51602"/>
    <w:rsid w:val="00A52B16"/>
    <w:rsid w:val="00A52B38"/>
    <w:rsid w:val="00A54D8D"/>
    <w:rsid w:val="00A56C87"/>
    <w:rsid w:val="00A57A70"/>
    <w:rsid w:val="00A57D84"/>
    <w:rsid w:val="00A601F0"/>
    <w:rsid w:val="00A62FA3"/>
    <w:rsid w:val="00A632FA"/>
    <w:rsid w:val="00A63376"/>
    <w:rsid w:val="00A66FF5"/>
    <w:rsid w:val="00A67C95"/>
    <w:rsid w:val="00A701D1"/>
    <w:rsid w:val="00A73899"/>
    <w:rsid w:val="00A7477E"/>
    <w:rsid w:val="00A74A58"/>
    <w:rsid w:val="00A75F1A"/>
    <w:rsid w:val="00A81EBF"/>
    <w:rsid w:val="00A81F75"/>
    <w:rsid w:val="00A827EF"/>
    <w:rsid w:val="00A82824"/>
    <w:rsid w:val="00A856AA"/>
    <w:rsid w:val="00A95492"/>
    <w:rsid w:val="00A95AE3"/>
    <w:rsid w:val="00A96112"/>
    <w:rsid w:val="00A966BB"/>
    <w:rsid w:val="00A96DF5"/>
    <w:rsid w:val="00A97617"/>
    <w:rsid w:val="00AA477A"/>
    <w:rsid w:val="00AA5384"/>
    <w:rsid w:val="00AA5F9E"/>
    <w:rsid w:val="00AA6457"/>
    <w:rsid w:val="00AA6584"/>
    <w:rsid w:val="00AA777D"/>
    <w:rsid w:val="00AB1616"/>
    <w:rsid w:val="00AB24B9"/>
    <w:rsid w:val="00AB24C4"/>
    <w:rsid w:val="00AB2F79"/>
    <w:rsid w:val="00AB3384"/>
    <w:rsid w:val="00AC19C0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4A2"/>
    <w:rsid w:val="00AD4A5A"/>
    <w:rsid w:val="00AD557A"/>
    <w:rsid w:val="00AD6BDB"/>
    <w:rsid w:val="00AD73AA"/>
    <w:rsid w:val="00AE1808"/>
    <w:rsid w:val="00AE1A7A"/>
    <w:rsid w:val="00AE1C0B"/>
    <w:rsid w:val="00AE1E89"/>
    <w:rsid w:val="00AE2011"/>
    <w:rsid w:val="00AE6889"/>
    <w:rsid w:val="00AF1198"/>
    <w:rsid w:val="00AF20F6"/>
    <w:rsid w:val="00AF3F29"/>
    <w:rsid w:val="00AF6EFA"/>
    <w:rsid w:val="00B02EE5"/>
    <w:rsid w:val="00B046A5"/>
    <w:rsid w:val="00B06328"/>
    <w:rsid w:val="00B06D2F"/>
    <w:rsid w:val="00B070CE"/>
    <w:rsid w:val="00B1171A"/>
    <w:rsid w:val="00B12D1D"/>
    <w:rsid w:val="00B12F38"/>
    <w:rsid w:val="00B14653"/>
    <w:rsid w:val="00B14D12"/>
    <w:rsid w:val="00B14E75"/>
    <w:rsid w:val="00B16669"/>
    <w:rsid w:val="00B17CF3"/>
    <w:rsid w:val="00B2267B"/>
    <w:rsid w:val="00B2278F"/>
    <w:rsid w:val="00B22CE8"/>
    <w:rsid w:val="00B23672"/>
    <w:rsid w:val="00B256C3"/>
    <w:rsid w:val="00B25D6D"/>
    <w:rsid w:val="00B26C10"/>
    <w:rsid w:val="00B27957"/>
    <w:rsid w:val="00B30205"/>
    <w:rsid w:val="00B313AD"/>
    <w:rsid w:val="00B33847"/>
    <w:rsid w:val="00B3424B"/>
    <w:rsid w:val="00B34C52"/>
    <w:rsid w:val="00B36571"/>
    <w:rsid w:val="00B36A13"/>
    <w:rsid w:val="00B37EA1"/>
    <w:rsid w:val="00B40605"/>
    <w:rsid w:val="00B40985"/>
    <w:rsid w:val="00B40C82"/>
    <w:rsid w:val="00B40EC7"/>
    <w:rsid w:val="00B43452"/>
    <w:rsid w:val="00B441D1"/>
    <w:rsid w:val="00B46B76"/>
    <w:rsid w:val="00B46C2D"/>
    <w:rsid w:val="00B505A8"/>
    <w:rsid w:val="00B545C5"/>
    <w:rsid w:val="00B553AF"/>
    <w:rsid w:val="00B56F4A"/>
    <w:rsid w:val="00B57285"/>
    <w:rsid w:val="00B57EA2"/>
    <w:rsid w:val="00B61B69"/>
    <w:rsid w:val="00B61C1F"/>
    <w:rsid w:val="00B61E32"/>
    <w:rsid w:val="00B65757"/>
    <w:rsid w:val="00B65A2D"/>
    <w:rsid w:val="00B66FBD"/>
    <w:rsid w:val="00B672E5"/>
    <w:rsid w:val="00B678BC"/>
    <w:rsid w:val="00B67B40"/>
    <w:rsid w:val="00B706E4"/>
    <w:rsid w:val="00B70E71"/>
    <w:rsid w:val="00B75E97"/>
    <w:rsid w:val="00B80757"/>
    <w:rsid w:val="00B808FA"/>
    <w:rsid w:val="00B81415"/>
    <w:rsid w:val="00B81869"/>
    <w:rsid w:val="00B81D19"/>
    <w:rsid w:val="00B8465D"/>
    <w:rsid w:val="00B91A0E"/>
    <w:rsid w:val="00B94D0F"/>
    <w:rsid w:val="00BA01B4"/>
    <w:rsid w:val="00BA0727"/>
    <w:rsid w:val="00BA1493"/>
    <w:rsid w:val="00BA1F0E"/>
    <w:rsid w:val="00BA2898"/>
    <w:rsid w:val="00BA2D3F"/>
    <w:rsid w:val="00BA449B"/>
    <w:rsid w:val="00BA4589"/>
    <w:rsid w:val="00BA547B"/>
    <w:rsid w:val="00BA58C0"/>
    <w:rsid w:val="00BA6FFF"/>
    <w:rsid w:val="00BB2956"/>
    <w:rsid w:val="00BB5944"/>
    <w:rsid w:val="00BB5C2F"/>
    <w:rsid w:val="00BC2351"/>
    <w:rsid w:val="00BC24EB"/>
    <w:rsid w:val="00BC2F3C"/>
    <w:rsid w:val="00BC3539"/>
    <w:rsid w:val="00BC389A"/>
    <w:rsid w:val="00BC4989"/>
    <w:rsid w:val="00BC5FC7"/>
    <w:rsid w:val="00BC6C3F"/>
    <w:rsid w:val="00BC70E7"/>
    <w:rsid w:val="00BC7231"/>
    <w:rsid w:val="00BD09E6"/>
    <w:rsid w:val="00BD2E06"/>
    <w:rsid w:val="00BD3BCD"/>
    <w:rsid w:val="00BD4945"/>
    <w:rsid w:val="00BD573D"/>
    <w:rsid w:val="00BD595C"/>
    <w:rsid w:val="00BD60C6"/>
    <w:rsid w:val="00BD680F"/>
    <w:rsid w:val="00BD70A4"/>
    <w:rsid w:val="00BE108A"/>
    <w:rsid w:val="00BE45D5"/>
    <w:rsid w:val="00BE5A3D"/>
    <w:rsid w:val="00BE7EB9"/>
    <w:rsid w:val="00BF0017"/>
    <w:rsid w:val="00BF1DD2"/>
    <w:rsid w:val="00BF36FE"/>
    <w:rsid w:val="00BF4B18"/>
    <w:rsid w:val="00BF53A5"/>
    <w:rsid w:val="00BF591E"/>
    <w:rsid w:val="00BF6439"/>
    <w:rsid w:val="00BF64A7"/>
    <w:rsid w:val="00BF707A"/>
    <w:rsid w:val="00C005F9"/>
    <w:rsid w:val="00C0097D"/>
    <w:rsid w:val="00C012A4"/>
    <w:rsid w:val="00C03043"/>
    <w:rsid w:val="00C037BA"/>
    <w:rsid w:val="00C03BA1"/>
    <w:rsid w:val="00C04D6B"/>
    <w:rsid w:val="00C05835"/>
    <w:rsid w:val="00C07A48"/>
    <w:rsid w:val="00C07FE8"/>
    <w:rsid w:val="00C10839"/>
    <w:rsid w:val="00C10DD4"/>
    <w:rsid w:val="00C1192F"/>
    <w:rsid w:val="00C119B3"/>
    <w:rsid w:val="00C11ACB"/>
    <w:rsid w:val="00C12083"/>
    <w:rsid w:val="00C124C6"/>
    <w:rsid w:val="00C13AF6"/>
    <w:rsid w:val="00C1597A"/>
    <w:rsid w:val="00C159A6"/>
    <w:rsid w:val="00C17FD4"/>
    <w:rsid w:val="00C2008F"/>
    <w:rsid w:val="00C20493"/>
    <w:rsid w:val="00C208D1"/>
    <w:rsid w:val="00C20EBE"/>
    <w:rsid w:val="00C21D03"/>
    <w:rsid w:val="00C22603"/>
    <w:rsid w:val="00C2333E"/>
    <w:rsid w:val="00C2444F"/>
    <w:rsid w:val="00C25923"/>
    <w:rsid w:val="00C25DE4"/>
    <w:rsid w:val="00C26C07"/>
    <w:rsid w:val="00C2770B"/>
    <w:rsid w:val="00C27766"/>
    <w:rsid w:val="00C3095E"/>
    <w:rsid w:val="00C32231"/>
    <w:rsid w:val="00C326C3"/>
    <w:rsid w:val="00C327F8"/>
    <w:rsid w:val="00C33074"/>
    <w:rsid w:val="00C349A6"/>
    <w:rsid w:val="00C365ED"/>
    <w:rsid w:val="00C37591"/>
    <w:rsid w:val="00C4095B"/>
    <w:rsid w:val="00C4581B"/>
    <w:rsid w:val="00C4595C"/>
    <w:rsid w:val="00C475BB"/>
    <w:rsid w:val="00C521B5"/>
    <w:rsid w:val="00C526B1"/>
    <w:rsid w:val="00C5450E"/>
    <w:rsid w:val="00C55CE5"/>
    <w:rsid w:val="00C55E57"/>
    <w:rsid w:val="00C6019C"/>
    <w:rsid w:val="00C612D4"/>
    <w:rsid w:val="00C62634"/>
    <w:rsid w:val="00C639E3"/>
    <w:rsid w:val="00C64010"/>
    <w:rsid w:val="00C651EC"/>
    <w:rsid w:val="00C65DC2"/>
    <w:rsid w:val="00C67034"/>
    <w:rsid w:val="00C70AED"/>
    <w:rsid w:val="00C7226F"/>
    <w:rsid w:val="00C72455"/>
    <w:rsid w:val="00C726F9"/>
    <w:rsid w:val="00C7289F"/>
    <w:rsid w:val="00C728EF"/>
    <w:rsid w:val="00C72904"/>
    <w:rsid w:val="00C75329"/>
    <w:rsid w:val="00C76513"/>
    <w:rsid w:val="00C76A1C"/>
    <w:rsid w:val="00C77C17"/>
    <w:rsid w:val="00C80495"/>
    <w:rsid w:val="00C8434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A0BDE"/>
    <w:rsid w:val="00CA188A"/>
    <w:rsid w:val="00CA254B"/>
    <w:rsid w:val="00CA2A5F"/>
    <w:rsid w:val="00CA3549"/>
    <w:rsid w:val="00CA56CB"/>
    <w:rsid w:val="00CB042E"/>
    <w:rsid w:val="00CB08E0"/>
    <w:rsid w:val="00CB13FB"/>
    <w:rsid w:val="00CB1433"/>
    <w:rsid w:val="00CB49A2"/>
    <w:rsid w:val="00CB4E3A"/>
    <w:rsid w:val="00CB58B6"/>
    <w:rsid w:val="00CB6801"/>
    <w:rsid w:val="00CC4421"/>
    <w:rsid w:val="00CC6958"/>
    <w:rsid w:val="00CC790F"/>
    <w:rsid w:val="00CD065D"/>
    <w:rsid w:val="00CD19E1"/>
    <w:rsid w:val="00CD2CAD"/>
    <w:rsid w:val="00CD3CAD"/>
    <w:rsid w:val="00CD508B"/>
    <w:rsid w:val="00CD620B"/>
    <w:rsid w:val="00CD679B"/>
    <w:rsid w:val="00CD70AE"/>
    <w:rsid w:val="00CD7F45"/>
    <w:rsid w:val="00CE0042"/>
    <w:rsid w:val="00CE0C2C"/>
    <w:rsid w:val="00CE1FA4"/>
    <w:rsid w:val="00CE219F"/>
    <w:rsid w:val="00CE455C"/>
    <w:rsid w:val="00CE75E4"/>
    <w:rsid w:val="00CF0ECA"/>
    <w:rsid w:val="00CF167E"/>
    <w:rsid w:val="00CF1751"/>
    <w:rsid w:val="00CF4A31"/>
    <w:rsid w:val="00CF68AD"/>
    <w:rsid w:val="00D02E60"/>
    <w:rsid w:val="00D05F56"/>
    <w:rsid w:val="00D065E0"/>
    <w:rsid w:val="00D06BDC"/>
    <w:rsid w:val="00D07BC5"/>
    <w:rsid w:val="00D07CE1"/>
    <w:rsid w:val="00D1049A"/>
    <w:rsid w:val="00D1080B"/>
    <w:rsid w:val="00D12407"/>
    <w:rsid w:val="00D124EF"/>
    <w:rsid w:val="00D1385F"/>
    <w:rsid w:val="00D14850"/>
    <w:rsid w:val="00D16778"/>
    <w:rsid w:val="00D16829"/>
    <w:rsid w:val="00D1690A"/>
    <w:rsid w:val="00D16A8A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4F75"/>
    <w:rsid w:val="00D4760B"/>
    <w:rsid w:val="00D47B93"/>
    <w:rsid w:val="00D503DE"/>
    <w:rsid w:val="00D50455"/>
    <w:rsid w:val="00D50CA7"/>
    <w:rsid w:val="00D519FB"/>
    <w:rsid w:val="00D53A57"/>
    <w:rsid w:val="00D5433E"/>
    <w:rsid w:val="00D5530F"/>
    <w:rsid w:val="00D555DD"/>
    <w:rsid w:val="00D55DCC"/>
    <w:rsid w:val="00D603A3"/>
    <w:rsid w:val="00D6367B"/>
    <w:rsid w:val="00D64A63"/>
    <w:rsid w:val="00D662FD"/>
    <w:rsid w:val="00D70737"/>
    <w:rsid w:val="00D71684"/>
    <w:rsid w:val="00D733B7"/>
    <w:rsid w:val="00D740C3"/>
    <w:rsid w:val="00D74D83"/>
    <w:rsid w:val="00D77B13"/>
    <w:rsid w:val="00D81436"/>
    <w:rsid w:val="00D81E6E"/>
    <w:rsid w:val="00D826FA"/>
    <w:rsid w:val="00D82C24"/>
    <w:rsid w:val="00D84869"/>
    <w:rsid w:val="00D862A0"/>
    <w:rsid w:val="00D86EC7"/>
    <w:rsid w:val="00D877BB"/>
    <w:rsid w:val="00D900B9"/>
    <w:rsid w:val="00D91725"/>
    <w:rsid w:val="00D92A95"/>
    <w:rsid w:val="00D93A8E"/>
    <w:rsid w:val="00D94860"/>
    <w:rsid w:val="00D94D84"/>
    <w:rsid w:val="00D95126"/>
    <w:rsid w:val="00D97671"/>
    <w:rsid w:val="00D97C37"/>
    <w:rsid w:val="00DA06FA"/>
    <w:rsid w:val="00DA0DE9"/>
    <w:rsid w:val="00DA1B79"/>
    <w:rsid w:val="00DA1FF3"/>
    <w:rsid w:val="00DA3C20"/>
    <w:rsid w:val="00DA41AD"/>
    <w:rsid w:val="00DA44F9"/>
    <w:rsid w:val="00DA5512"/>
    <w:rsid w:val="00DA7314"/>
    <w:rsid w:val="00DB011F"/>
    <w:rsid w:val="00DB04CB"/>
    <w:rsid w:val="00DB40ED"/>
    <w:rsid w:val="00DB462B"/>
    <w:rsid w:val="00DB49DE"/>
    <w:rsid w:val="00DB4CBE"/>
    <w:rsid w:val="00DB66DF"/>
    <w:rsid w:val="00DB7252"/>
    <w:rsid w:val="00DB7F0F"/>
    <w:rsid w:val="00DC10F9"/>
    <w:rsid w:val="00DC1BD8"/>
    <w:rsid w:val="00DC1C13"/>
    <w:rsid w:val="00DC407A"/>
    <w:rsid w:val="00DC6F42"/>
    <w:rsid w:val="00DC7186"/>
    <w:rsid w:val="00DD0B1F"/>
    <w:rsid w:val="00DD1391"/>
    <w:rsid w:val="00DD1E6E"/>
    <w:rsid w:val="00DD206A"/>
    <w:rsid w:val="00DD65F2"/>
    <w:rsid w:val="00DD7D15"/>
    <w:rsid w:val="00DD7E63"/>
    <w:rsid w:val="00DE3AC5"/>
    <w:rsid w:val="00DE4A3E"/>
    <w:rsid w:val="00DE5F8C"/>
    <w:rsid w:val="00DE6B98"/>
    <w:rsid w:val="00DF081C"/>
    <w:rsid w:val="00DF617C"/>
    <w:rsid w:val="00DF6A51"/>
    <w:rsid w:val="00DF6F38"/>
    <w:rsid w:val="00DF727C"/>
    <w:rsid w:val="00E02C58"/>
    <w:rsid w:val="00E02D9F"/>
    <w:rsid w:val="00E0311C"/>
    <w:rsid w:val="00E0442A"/>
    <w:rsid w:val="00E04CC2"/>
    <w:rsid w:val="00E11F5C"/>
    <w:rsid w:val="00E12213"/>
    <w:rsid w:val="00E12E1F"/>
    <w:rsid w:val="00E13493"/>
    <w:rsid w:val="00E149B4"/>
    <w:rsid w:val="00E17A25"/>
    <w:rsid w:val="00E20BAE"/>
    <w:rsid w:val="00E21F11"/>
    <w:rsid w:val="00E232B4"/>
    <w:rsid w:val="00E23A63"/>
    <w:rsid w:val="00E23BD1"/>
    <w:rsid w:val="00E250CF"/>
    <w:rsid w:val="00E26EEF"/>
    <w:rsid w:val="00E27771"/>
    <w:rsid w:val="00E303D0"/>
    <w:rsid w:val="00E312B5"/>
    <w:rsid w:val="00E3236D"/>
    <w:rsid w:val="00E347BE"/>
    <w:rsid w:val="00E4077E"/>
    <w:rsid w:val="00E4282C"/>
    <w:rsid w:val="00E446C2"/>
    <w:rsid w:val="00E455E3"/>
    <w:rsid w:val="00E47058"/>
    <w:rsid w:val="00E47961"/>
    <w:rsid w:val="00E51992"/>
    <w:rsid w:val="00E51ED7"/>
    <w:rsid w:val="00E52884"/>
    <w:rsid w:val="00E53014"/>
    <w:rsid w:val="00E54971"/>
    <w:rsid w:val="00E54F3B"/>
    <w:rsid w:val="00E56D84"/>
    <w:rsid w:val="00E572DF"/>
    <w:rsid w:val="00E617D2"/>
    <w:rsid w:val="00E61B50"/>
    <w:rsid w:val="00E62C89"/>
    <w:rsid w:val="00E631BA"/>
    <w:rsid w:val="00E65C9F"/>
    <w:rsid w:val="00E70841"/>
    <w:rsid w:val="00E70DAA"/>
    <w:rsid w:val="00E7148F"/>
    <w:rsid w:val="00E725FD"/>
    <w:rsid w:val="00E72A04"/>
    <w:rsid w:val="00E72AC5"/>
    <w:rsid w:val="00E737CA"/>
    <w:rsid w:val="00E75528"/>
    <w:rsid w:val="00E77F03"/>
    <w:rsid w:val="00E8006F"/>
    <w:rsid w:val="00E80A32"/>
    <w:rsid w:val="00E81982"/>
    <w:rsid w:val="00E838DE"/>
    <w:rsid w:val="00E843D6"/>
    <w:rsid w:val="00E85248"/>
    <w:rsid w:val="00E85DB1"/>
    <w:rsid w:val="00E86E4E"/>
    <w:rsid w:val="00E9020A"/>
    <w:rsid w:val="00E9073B"/>
    <w:rsid w:val="00E92478"/>
    <w:rsid w:val="00E92EBD"/>
    <w:rsid w:val="00E941F5"/>
    <w:rsid w:val="00E95059"/>
    <w:rsid w:val="00E95E77"/>
    <w:rsid w:val="00E9602C"/>
    <w:rsid w:val="00E96B36"/>
    <w:rsid w:val="00E96EC7"/>
    <w:rsid w:val="00E97E85"/>
    <w:rsid w:val="00EA0CC5"/>
    <w:rsid w:val="00EA2F6A"/>
    <w:rsid w:val="00EA36B3"/>
    <w:rsid w:val="00EA5E27"/>
    <w:rsid w:val="00EA74B1"/>
    <w:rsid w:val="00EB06AA"/>
    <w:rsid w:val="00EB2B6B"/>
    <w:rsid w:val="00EB4FEC"/>
    <w:rsid w:val="00EB51E8"/>
    <w:rsid w:val="00EC0182"/>
    <w:rsid w:val="00EC2522"/>
    <w:rsid w:val="00EC2FB0"/>
    <w:rsid w:val="00EC3B6A"/>
    <w:rsid w:val="00EC4F49"/>
    <w:rsid w:val="00EC7EB2"/>
    <w:rsid w:val="00ED20F3"/>
    <w:rsid w:val="00ED3F75"/>
    <w:rsid w:val="00ED5594"/>
    <w:rsid w:val="00ED6F0D"/>
    <w:rsid w:val="00ED7471"/>
    <w:rsid w:val="00EE0E5E"/>
    <w:rsid w:val="00EE1C61"/>
    <w:rsid w:val="00EE51A8"/>
    <w:rsid w:val="00EE5485"/>
    <w:rsid w:val="00EE5CFB"/>
    <w:rsid w:val="00EE6615"/>
    <w:rsid w:val="00EE67D5"/>
    <w:rsid w:val="00EF0089"/>
    <w:rsid w:val="00EF0DB0"/>
    <w:rsid w:val="00EF150A"/>
    <w:rsid w:val="00EF1D6E"/>
    <w:rsid w:val="00EF2473"/>
    <w:rsid w:val="00EF537F"/>
    <w:rsid w:val="00EF72F3"/>
    <w:rsid w:val="00F00159"/>
    <w:rsid w:val="00F002D0"/>
    <w:rsid w:val="00F024DC"/>
    <w:rsid w:val="00F0287E"/>
    <w:rsid w:val="00F028AA"/>
    <w:rsid w:val="00F02F96"/>
    <w:rsid w:val="00F03DB3"/>
    <w:rsid w:val="00F054A9"/>
    <w:rsid w:val="00F067A1"/>
    <w:rsid w:val="00F07409"/>
    <w:rsid w:val="00F10BF2"/>
    <w:rsid w:val="00F112C7"/>
    <w:rsid w:val="00F11662"/>
    <w:rsid w:val="00F127C8"/>
    <w:rsid w:val="00F16D87"/>
    <w:rsid w:val="00F17E37"/>
    <w:rsid w:val="00F22356"/>
    <w:rsid w:val="00F223F6"/>
    <w:rsid w:val="00F24D42"/>
    <w:rsid w:val="00F263A7"/>
    <w:rsid w:val="00F2781C"/>
    <w:rsid w:val="00F30989"/>
    <w:rsid w:val="00F30CF6"/>
    <w:rsid w:val="00F31A81"/>
    <w:rsid w:val="00F32229"/>
    <w:rsid w:val="00F32DBA"/>
    <w:rsid w:val="00F35DF8"/>
    <w:rsid w:val="00F36ACA"/>
    <w:rsid w:val="00F3711A"/>
    <w:rsid w:val="00F37D0F"/>
    <w:rsid w:val="00F40CA0"/>
    <w:rsid w:val="00F41BDD"/>
    <w:rsid w:val="00F422D8"/>
    <w:rsid w:val="00F42D03"/>
    <w:rsid w:val="00F43047"/>
    <w:rsid w:val="00F44891"/>
    <w:rsid w:val="00F463D1"/>
    <w:rsid w:val="00F4670F"/>
    <w:rsid w:val="00F469E0"/>
    <w:rsid w:val="00F516A8"/>
    <w:rsid w:val="00F51E12"/>
    <w:rsid w:val="00F52820"/>
    <w:rsid w:val="00F52860"/>
    <w:rsid w:val="00F53739"/>
    <w:rsid w:val="00F554E7"/>
    <w:rsid w:val="00F574BA"/>
    <w:rsid w:val="00F61AFB"/>
    <w:rsid w:val="00F6227C"/>
    <w:rsid w:val="00F64323"/>
    <w:rsid w:val="00F644F1"/>
    <w:rsid w:val="00F64F06"/>
    <w:rsid w:val="00F67158"/>
    <w:rsid w:val="00F71705"/>
    <w:rsid w:val="00F7508A"/>
    <w:rsid w:val="00F75656"/>
    <w:rsid w:val="00F762CF"/>
    <w:rsid w:val="00F76D5D"/>
    <w:rsid w:val="00F8008B"/>
    <w:rsid w:val="00F8274A"/>
    <w:rsid w:val="00F84F85"/>
    <w:rsid w:val="00F868DE"/>
    <w:rsid w:val="00F86A2C"/>
    <w:rsid w:val="00F90225"/>
    <w:rsid w:val="00F905A0"/>
    <w:rsid w:val="00F93DA0"/>
    <w:rsid w:val="00F94149"/>
    <w:rsid w:val="00F95134"/>
    <w:rsid w:val="00F95687"/>
    <w:rsid w:val="00F96B75"/>
    <w:rsid w:val="00FA2C50"/>
    <w:rsid w:val="00FA2D14"/>
    <w:rsid w:val="00FA3142"/>
    <w:rsid w:val="00FA337D"/>
    <w:rsid w:val="00FA4AD5"/>
    <w:rsid w:val="00FA5F89"/>
    <w:rsid w:val="00FA7BB8"/>
    <w:rsid w:val="00FB0009"/>
    <w:rsid w:val="00FB12D3"/>
    <w:rsid w:val="00FB196B"/>
    <w:rsid w:val="00FB2DC7"/>
    <w:rsid w:val="00FB3084"/>
    <w:rsid w:val="00FB46C6"/>
    <w:rsid w:val="00FB64B2"/>
    <w:rsid w:val="00FB6A94"/>
    <w:rsid w:val="00FC093E"/>
    <w:rsid w:val="00FC16D5"/>
    <w:rsid w:val="00FC171B"/>
    <w:rsid w:val="00FC1EB4"/>
    <w:rsid w:val="00FC2C18"/>
    <w:rsid w:val="00FC3984"/>
    <w:rsid w:val="00FC488A"/>
    <w:rsid w:val="00FC64E7"/>
    <w:rsid w:val="00FD0299"/>
    <w:rsid w:val="00FD2078"/>
    <w:rsid w:val="00FD2854"/>
    <w:rsid w:val="00FD2AFC"/>
    <w:rsid w:val="00FD3A74"/>
    <w:rsid w:val="00FD44B5"/>
    <w:rsid w:val="00FD5230"/>
    <w:rsid w:val="00FD782B"/>
    <w:rsid w:val="00FD7E2E"/>
    <w:rsid w:val="00FE240D"/>
    <w:rsid w:val="00FE4CBD"/>
    <w:rsid w:val="00FE5B5C"/>
    <w:rsid w:val="00FE5D6F"/>
    <w:rsid w:val="00FE5E2B"/>
    <w:rsid w:val="00FE623C"/>
    <w:rsid w:val="00FE6CB6"/>
    <w:rsid w:val="00FF0513"/>
    <w:rsid w:val="00FF3130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428B9-1A69-49E7-8A15-6AACB1EE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20F11"/>
    <w:pPr>
      <w:tabs>
        <w:tab w:val="left" w:pos="880"/>
        <w:tab w:val="right" w:leader="dot" w:pos="9395"/>
      </w:tabs>
      <w:spacing w:after="0"/>
      <w:ind w:left="221"/>
      <w:contextualSpacing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D8EF-1B3A-44F2-911F-7A32A5E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17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01.01.2019-31.12.2019.g.</vt:lpstr>
    </vt:vector>
  </TitlesOfParts>
  <Company/>
  <LinksUpToDate>false</LinksUpToDate>
  <CharactersWithSpaces>27989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Note-napomene uz finansijski izvještaj  za period od 01.01.2019-31.12.2019.g.</dc:title>
  <dc:subject/>
  <dc:creator>x</dc:creator>
  <cp:keywords/>
  <dc:description/>
  <cp:lastModifiedBy>Osiguranje</cp:lastModifiedBy>
  <cp:revision>287</cp:revision>
  <cp:lastPrinted>2020-03-19T07:44:00Z</cp:lastPrinted>
  <dcterms:created xsi:type="dcterms:W3CDTF">2020-02-24T06:26:00Z</dcterms:created>
  <dcterms:modified xsi:type="dcterms:W3CDTF">2020-05-07T10:21:00Z</dcterms:modified>
</cp:coreProperties>
</file>