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62" w:rsidRDefault="00C93E62">
      <w:pPr>
        <w:rPr>
          <w:lang w:val="sr-Latn-CS"/>
        </w:rPr>
      </w:pPr>
      <w:bookmarkStart w:id="0" w:name="_GoBack"/>
      <w:bookmarkEnd w:id="0"/>
    </w:p>
    <w:p w:rsidR="00C93E62" w:rsidRPr="00AD44A2" w:rsidRDefault="003B4CB2">
      <w:pPr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                                         </w:t>
      </w:r>
      <w:r w:rsidR="004F1928" w:rsidRPr="00AD44A2">
        <w:rPr>
          <w:rFonts w:asciiTheme="majorHAnsi" w:hAnsiTheme="majorHAnsi"/>
          <w:b/>
          <w:lang w:val="sr-Latn-CS"/>
        </w:rPr>
        <w:t>AD</w:t>
      </w:r>
      <w:r w:rsidR="004F1928"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NEŠKOVIĆ   OSIGURANJE </w:t>
      </w:r>
      <w:r w:rsidR="004F1928"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BIJELJINA</w:t>
      </w:r>
    </w:p>
    <w:p w:rsidR="004F1928" w:rsidRPr="00AD44A2" w:rsidRDefault="004F1928">
      <w:pPr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 xml:space="preserve">                                                                         BIJELJINA</w:t>
      </w: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 xml:space="preserve">             </w:t>
      </w:r>
      <w:r w:rsidR="003B4CB2" w:rsidRPr="00AD44A2">
        <w:rPr>
          <w:rFonts w:asciiTheme="majorHAnsi" w:hAnsiTheme="majorHAnsi"/>
          <w:b/>
          <w:lang w:val="sr-Latn-CS"/>
        </w:rPr>
        <w:t xml:space="preserve">                   </w:t>
      </w:r>
      <w:r w:rsidRPr="00AD44A2">
        <w:rPr>
          <w:rFonts w:asciiTheme="majorHAnsi" w:hAnsiTheme="majorHAnsi"/>
          <w:b/>
          <w:lang w:val="sr-Latn-CS"/>
        </w:rPr>
        <w:t xml:space="preserve"> 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 xml:space="preserve">MENE UZ GODIŠNJI  FINANSIJSKI  IZVJEŠTAJ  </w:t>
      </w:r>
    </w:p>
    <w:p w:rsidR="00C93E62" w:rsidRPr="00AD44A2" w:rsidRDefault="004F1928">
      <w:pPr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 xml:space="preserve">                                                                   ZA 201</w:t>
      </w:r>
      <w:r w:rsidR="00BF64A7" w:rsidRPr="00AD44A2">
        <w:rPr>
          <w:rFonts w:asciiTheme="majorHAnsi" w:hAnsiTheme="majorHAnsi"/>
          <w:b/>
          <w:lang w:val="sr-Latn-CS"/>
        </w:rPr>
        <w:t>7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b/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C93E62">
      <w:pPr>
        <w:rPr>
          <w:lang w:val="sr-Latn-CS"/>
        </w:rPr>
      </w:pPr>
    </w:p>
    <w:p w:rsidR="00C93E62" w:rsidRPr="00AD44A2" w:rsidRDefault="00FD2AFC">
      <w:pPr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Bijeljina,28.02.201</w:t>
      </w:r>
      <w:r w:rsidR="00BF64A7" w:rsidRPr="00AD44A2">
        <w:rPr>
          <w:rFonts w:asciiTheme="majorHAnsi" w:hAnsiTheme="majorHAnsi"/>
          <w:b/>
          <w:lang w:val="sr-Latn-CS"/>
        </w:rPr>
        <w:t>8</w:t>
      </w:r>
      <w:r w:rsidRPr="00AD44A2">
        <w:rPr>
          <w:rFonts w:asciiTheme="majorHAnsi" w:hAnsiTheme="majorHAnsi"/>
          <w:b/>
          <w:lang w:val="sr-Latn-CS"/>
        </w:rPr>
        <w:t>.g.</w:t>
      </w:r>
    </w:p>
    <w:p w:rsidR="00C93E62" w:rsidRPr="00AD44A2" w:rsidRDefault="00C93E62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E737CA" w:rsidRPr="00AD44A2" w:rsidRDefault="00E737CA">
      <w:pPr>
        <w:rPr>
          <w:lang w:val="sr-Latn-CS"/>
        </w:rPr>
      </w:pPr>
    </w:p>
    <w:p w:rsidR="00FD2AFC" w:rsidRPr="00AD44A2" w:rsidRDefault="00FD2AFC">
      <w:pPr>
        <w:rPr>
          <w:lang w:val="sr-Latn-CS"/>
        </w:rPr>
      </w:pPr>
    </w:p>
    <w:p w:rsidR="00197844" w:rsidRPr="00AD44A2" w:rsidRDefault="00197844" w:rsidP="00197844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lastRenderedPageBreak/>
        <w:t>SADRŽAJ</w:t>
      </w:r>
    </w:p>
    <w:p w:rsidR="008A2C4E" w:rsidRDefault="001B5FEC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  <w:hyperlink w:anchor="_Toc507483645" w:history="1">
        <w:r w:rsidR="008A2C4E" w:rsidRPr="00925037">
          <w:rPr>
            <w:rStyle w:val="Hyperlink"/>
            <w:noProof/>
            <w:lang w:val="sr-Latn-CS"/>
          </w:rPr>
          <w:t>1.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O Društvu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_Toc507483645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507483646" w:history="1">
        <w:r w:rsidR="008A2C4E" w:rsidRPr="00925037">
          <w:rPr>
            <w:rStyle w:val="Hyperlink"/>
            <w:noProof/>
            <w:lang w:val="sr-Latn-CS"/>
          </w:rPr>
          <w:t>2.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Računovodstvene politike i aktuarske metode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_Toc507483646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507483647" w:history="1">
        <w:r w:rsidR="008A2C4E" w:rsidRPr="00925037">
          <w:rPr>
            <w:rStyle w:val="Hyperlink"/>
            <w:noProof/>
          </w:rPr>
          <w:t>3.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Primjenjene računovodstvene politike Društva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_Toc507483647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48" w:history="1">
        <w:r w:rsidR="008A2C4E" w:rsidRPr="00925037">
          <w:rPr>
            <w:rStyle w:val="Hyperlink"/>
            <w:noProof/>
          </w:rPr>
          <w:t>3.1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Nematerijalna ulaganja – imovina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_Toc507483648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49" w:history="1">
        <w:r w:rsidR="008A2C4E" w:rsidRPr="00925037">
          <w:rPr>
            <w:rStyle w:val="Hyperlink"/>
            <w:noProof/>
          </w:rPr>
          <w:t>3.2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Nekretnine,postrojenja i oprema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_Toc507483649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0" w:history="1">
        <w:r w:rsidR="008A2C4E" w:rsidRPr="00925037">
          <w:rPr>
            <w:rStyle w:val="Hyperlink"/>
            <w:noProof/>
            <w:lang w:val="sr-Latn-CS"/>
          </w:rPr>
          <w:t>3.3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Amortizacija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1" w:history="1">
        <w:r w:rsidR="008A2C4E" w:rsidRPr="00925037">
          <w:rPr>
            <w:rStyle w:val="Hyperlink"/>
            <w:noProof/>
            <w:lang w:val="sr-Latn-CS"/>
          </w:rPr>
          <w:t>3.4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Investicione nekretnine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2" w:history="1">
        <w:r w:rsidR="008A2C4E" w:rsidRPr="00925037">
          <w:rPr>
            <w:rStyle w:val="Hyperlink"/>
            <w:noProof/>
            <w:lang w:val="sr-Latn-CS"/>
          </w:rPr>
          <w:t>3.5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Učešće u kapitalu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3" w:history="1">
        <w:r w:rsidR="008A2C4E" w:rsidRPr="00925037">
          <w:rPr>
            <w:rStyle w:val="Hyperlink"/>
            <w:noProof/>
            <w:lang w:val="sr-Latn-CS"/>
          </w:rPr>
          <w:t>3.6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Dugoročni finansijski plasmani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4" w:history="1">
        <w:r w:rsidR="008A2C4E" w:rsidRPr="00925037">
          <w:rPr>
            <w:rStyle w:val="Hyperlink"/>
            <w:noProof/>
            <w:lang w:val="sr-Latn-CS"/>
          </w:rPr>
          <w:t>3.7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Zalihe mat</w:t>
        </w:r>
        <w:r w:rsidR="008A2C4E" w:rsidRPr="00925037">
          <w:rPr>
            <w:rStyle w:val="Hyperlink"/>
            <w:noProof/>
            <w:lang w:val="sr-Cyrl-BA"/>
          </w:rPr>
          <w:t>e</w:t>
        </w:r>
        <w:r w:rsidR="008A2C4E" w:rsidRPr="00925037">
          <w:rPr>
            <w:rStyle w:val="Hyperlink"/>
            <w:noProof/>
          </w:rPr>
          <w:t>rijala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5" w:history="1">
        <w:r w:rsidR="008A2C4E" w:rsidRPr="00925037">
          <w:rPr>
            <w:rStyle w:val="Hyperlink"/>
            <w:noProof/>
            <w:lang w:val="sr-Latn-CS"/>
          </w:rPr>
          <w:t>3.8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Kratkoročn</w:t>
        </w:r>
        <w:r w:rsidR="008A2C4E" w:rsidRPr="00925037">
          <w:rPr>
            <w:rStyle w:val="Hyperlink"/>
            <w:noProof/>
            <w:lang w:val="sr-Cyrl-CS"/>
          </w:rPr>
          <w:t>i finansijski plasmani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6" w:history="1">
        <w:r w:rsidR="008A2C4E" w:rsidRPr="00925037">
          <w:rPr>
            <w:rStyle w:val="Hyperlink"/>
            <w:noProof/>
            <w:lang w:val="sr-Latn-CS"/>
          </w:rPr>
          <w:t>3.9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Hartije od vrijednosti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7" w:history="1">
        <w:r w:rsidR="008A2C4E" w:rsidRPr="00925037">
          <w:rPr>
            <w:rStyle w:val="Hyperlink"/>
            <w:noProof/>
            <w:lang w:val="sr-Latn-CS"/>
          </w:rPr>
          <w:t>3.10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Kratkoročna potraživanja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8" w:history="1">
        <w:r w:rsidR="008A2C4E" w:rsidRPr="00925037">
          <w:rPr>
            <w:rStyle w:val="Hyperlink"/>
            <w:noProof/>
          </w:rPr>
          <w:t>3.11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Aktivna vremenska razgraničenja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59" w:history="1">
        <w:r w:rsidR="008A2C4E" w:rsidRPr="00925037">
          <w:rPr>
            <w:rStyle w:val="Hyperlink"/>
            <w:noProof/>
            <w:lang w:val="sr-Latn-CS"/>
          </w:rPr>
          <w:t>3.12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Gotovinski ekvivalenti i  gotovina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_Toc507483659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0" w:history="1">
        <w:r w:rsidR="008A2C4E" w:rsidRPr="00925037">
          <w:rPr>
            <w:rStyle w:val="Hyperlink"/>
            <w:noProof/>
            <w:lang w:val="sr-Latn-CS"/>
          </w:rPr>
          <w:t>3.13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Preračunavanje deviznih iznosa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1" w:history="1">
        <w:r w:rsidR="008A2C4E" w:rsidRPr="00925037">
          <w:rPr>
            <w:rStyle w:val="Hyperlink"/>
            <w:noProof/>
            <w:lang w:val="sr-Latn-CS"/>
          </w:rPr>
          <w:t>3.14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Kapital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2" w:history="1">
        <w:r w:rsidR="008A2C4E" w:rsidRPr="00925037">
          <w:rPr>
            <w:rStyle w:val="Hyperlink"/>
            <w:noProof/>
            <w:lang w:val="sr-Latn-CS"/>
          </w:rPr>
          <w:t>3.15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Rezervisanja za primanja zaposlenih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3" w:history="1">
        <w:r w:rsidR="008A2C4E" w:rsidRPr="00925037">
          <w:rPr>
            <w:rStyle w:val="Hyperlink"/>
            <w:noProof/>
            <w:lang w:val="sr-Latn-CS"/>
          </w:rPr>
          <w:t>3.16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Kratkoročne obaveze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4" w:history="1">
        <w:r w:rsidR="008A2C4E" w:rsidRPr="00925037">
          <w:rPr>
            <w:rStyle w:val="Hyperlink"/>
            <w:noProof/>
            <w:lang w:val="sr-Cyrl-BA"/>
          </w:rPr>
          <w:t>3.17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Pasivna vremenska razgraničenja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5" w:history="1">
        <w:r w:rsidR="008A2C4E" w:rsidRPr="00925037">
          <w:rPr>
            <w:rStyle w:val="Hyperlink"/>
            <w:noProof/>
            <w:lang w:val="sr-Latn-CS"/>
          </w:rPr>
          <w:t>3.18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Rezervisanja sre</w:t>
        </w:r>
        <w:r w:rsidR="008A2C4E" w:rsidRPr="00925037">
          <w:rPr>
            <w:rStyle w:val="Hyperlink"/>
            <w:noProof/>
            <w:lang w:val="sr-Cyrl-BA"/>
          </w:rPr>
          <w:t>d</w:t>
        </w:r>
        <w:r w:rsidR="008A2C4E" w:rsidRPr="00925037">
          <w:rPr>
            <w:rStyle w:val="Hyperlink"/>
            <w:noProof/>
          </w:rPr>
          <w:t>stava za nastale prijavljene,a nelikvidirane štete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6" w:history="1">
        <w:r w:rsidR="008A2C4E" w:rsidRPr="00925037">
          <w:rPr>
            <w:rStyle w:val="Hyperlink"/>
            <w:noProof/>
            <w:lang w:val="sr-Latn-CS"/>
          </w:rPr>
          <w:t>3.19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Rezervisanja za nastale a ne prijavljene štete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7" w:history="1">
        <w:r w:rsidR="008A2C4E" w:rsidRPr="00925037">
          <w:rPr>
            <w:rStyle w:val="Hyperlink"/>
            <w:noProof/>
            <w:lang w:val="sr-Latn-CS"/>
          </w:rPr>
          <w:t>3.20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Idvojena sre</w:t>
        </w:r>
        <w:r w:rsidR="008A2C4E" w:rsidRPr="00925037">
          <w:rPr>
            <w:rStyle w:val="Hyperlink"/>
            <w:noProof/>
            <w:lang w:val="sr-Cyrl-BA"/>
          </w:rPr>
          <w:t>d</w:t>
        </w:r>
        <w:r w:rsidR="008A2C4E" w:rsidRPr="00925037">
          <w:rPr>
            <w:rStyle w:val="Hyperlink"/>
            <w:noProof/>
          </w:rPr>
          <w:t>stva za preventivu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8" w:history="1">
        <w:r w:rsidR="008A2C4E" w:rsidRPr="00925037">
          <w:rPr>
            <w:rStyle w:val="Hyperlink"/>
            <w:noProof/>
            <w:lang w:val="sr-Latn-CS"/>
          </w:rPr>
          <w:t>3.21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Prihodi i rashodi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69" w:history="1">
        <w:r w:rsidR="008A2C4E" w:rsidRPr="00925037">
          <w:rPr>
            <w:rStyle w:val="Hyperlink"/>
            <w:noProof/>
            <w:lang w:val="sr-Latn-CS"/>
          </w:rPr>
          <w:t>3.22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Ispravljanje grešaka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_Toc507483669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11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0" w:history="1">
        <w:r w:rsidR="008A2C4E" w:rsidRPr="00925037">
          <w:rPr>
            <w:rStyle w:val="Hyperlink"/>
            <w:noProof/>
          </w:rPr>
          <w:t>3.23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Pravila procjenjivanja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12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1" w:history="1">
        <w:r w:rsidR="008A2C4E" w:rsidRPr="00925037">
          <w:rPr>
            <w:rStyle w:val="Hyperlink"/>
            <w:noProof/>
          </w:rPr>
          <w:t>3.24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Načelo poslovanja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12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507483672" w:history="1">
        <w:r w:rsidR="008A2C4E" w:rsidRPr="00925037">
          <w:rPr>
            <w:rStyle w:val="Hyperlink"/>
            <w:noProof/>
          </w:rPr>
          <w:t>4.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Note bilansa stanja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3" w:history="1">
        <w:r w:rsidR="008A2C4E" w:rsidRPr="00925037">
          <w:rPr>
            <w:rStyle w:val="Hyperlink"/>
            <w:noProof/>
          </w:rPr>
          <w:t>4.1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Stalna imovina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4" w:history="1">
        <w:r w:rsidR="008A2C4E" w:rsidRPr="00925037">
          <w:rPr>
            <w:rStyle w:val="Hyperlink"/>
            <w:noProof/>
          </w:rPr>
          <w:t>4.2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Dugoročni finansijski plasmani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5" w:history="1">
        <w:r w:rsidR="008A2C4E" w:rsidRPr="00925037">
          <w:rPr>
            <w:rStyle w:val="Hyperlink"/>
            <w:noProof/>
          </w:rPr>
          <w:t>4.3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Dugoročni  finansijski plasmani u povezana pravna lica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6" w:history="1">
        <w:r w:rsidR="008A2C4E" w:rsidRPr="00925037">
          <w:rPr>
            <w:rStyle w:val="Hyperlink"/>
            <w:noProof/>
          </w:rPr>
          <w:t>4.4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Dugoročni finansijski plasmani u zemlji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7" w:history="1">
        <w:r w:rsidR="008A2C4E" w:rsidRPr="00925037">
          <w:rPr>
            <w:rStyle w:val="Hyperlink"/>
            <w:noProof/>
          </w:rPr>
          <w:t>4.5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Dugoročni plasmani u inostranstvu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8" w:history="1">
        <w:r w:rsidR="008A2C4E" w:rsidRPr="00925037">
          <w:rPr>
            <w:rStyle w:val="Hyperlink"/>
            <w:noProof/>
          </w:rPr>
          <w:t>4.6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Ostali dugoročni finansijski plasmani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79" w:history="1">
        <w:r w:rsidR="008A2C4E" w:rsidRPr="00925037">
          <w:rPr>
            <w:rStyle w:val="Hyperlink"/>
            <w:noProof/>
          </w:rPr>
          <w:t>4.7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Odložena poreska sredstva za 2017.g.nisu utvrđivana .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_Toc507483679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0" w:history="1">
        <w:r w:rsidR="008A2C4E" w:rsidRPr="00925037">
          <w:rPr>
            <w:rStyle w:val="Hyperlink"/>
            <w:noProof/>
          </w:rPr>
          <w:t>4.8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Zalihe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1" w:history="1">
        <w:r w:rsidR="008A2C4E" w:rsidRPr="00925037">
          <w:rPr>
            <w:rStyle w:val="Hyperlink"/>
            <w:noProof/>
          </w:rPr>
          <w:t>4.9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Potraživanja po osnovu premije neživotnih osiguranja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2" w:history="1">
        <w:r w:rsidR="008A2C4E" w:rsidRPr="00925037">
          <w:rPr>
            <w:rStyle w:val="Hyperlink"/>
            <w:noProof/>
          </w:rPr>
          <w:t>4.10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Potraživanje po osnovu premije reosiguranja u zemlji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3" w:history="1">
        <w:r w:rsidR="008A2C4E" w:rsidRPr="00925037">
          <w:rPr>
            <w:rStyle w:val="Hyperlink"/>
            <w:noProof/>
          </w:rPr>
          <w:t>4.11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Potraživanja iz specifičnih poslova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4" w:history="1">
        <w:r w:rsidR="008A2C4E" w:rsidRPr="00925037">
          <w:rPr>
            <w:rStyle w:val="Hyperlink"/>
            <w:noProof/>
          </w:rPr>
          <w:t>4.12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Druga potraživanja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5" w:history="1">
        <w:r w:rsidR="008A2C4E" w:rsidRPr="00925037">
          <w:rPr>
            <w:rStyle w:val="Hyperlink"/>
            <w:noProof/>
          </w:rPr>
          <w:t>4.13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Kratkoročni finansijski plasmani –depoziti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6" w:history="1">
        <w:r w:rsidR="008A2C4E" w:rsidRPr="00925037">
          <w:rPr>
            <w:rStyle w:val="Hyperlink"/>
            <w:noProof/>
          </w:rPr>
          <w:t>4.14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Finansijska sredstva po fer vrijednosti kroz bilans uspjeha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19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7" w:history="1">
        <w:r w:rsidR="008A2C4E" w:rsidRPr="00925037">
          <w:rPr>
            <w:rStyle w:val="Hyperlink"/>
            <w:noProof/>
          </w:rPr>
          <w:t>4.15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Gotovina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8" w:history="1">
        <w:r w:rsidR="008A2C4E" w:rsidRPr="00925037">
          <w:rPr>
            <w:rStyle w:val="Hyperlink"/>
            <w:noProof/>
          </w:rPr>
          <w:t>4.16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AVR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89" w:history="1">
        <w:r w:rsidR="008A2C4E" w:rsidRPr="00925037">
          <w:rPr>
            <w:rStyle w:val="Hyperlink"/>
            <w:noProof/>
          </w:rPr>
          <w:t>4.17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Akcijski kapital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_Toc507483689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0" w:history="1">
        <w:r w:rsidR="008A2C4E" w:rsidRPr="00925037">
          <w:rPr>
            <w:rStyle w:val="Hyperlink"/>
            <w:noProof/>
          </w:rPr>
          <w:t>4.18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Revalorizacione rezerve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21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1" w:history="1">
        <w:r w:rsidR="008A2C4E" w:rsidRPr="00925037">
          <w:rPr>
            <w:rStyle w:val="Hyperlink"/>
            <w:noProof/>
          </w:rPr>
          <w:t>4.19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Neraspoređena dobit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21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2" w:history="1">
        <w:r w:rsidR="008A2C4E" w:rsidRPr="00925037">
          <w:rPr>
            <w:rStyle w:val="Hyperlink"/>
            <w:noProof/>
          </w:rPr>
          <w:t>4.20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Primanja zaposlenih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21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3" w:history="1">
        <w:r w:rsidR="008A2C4E" w:rsidRPr="00925037">
          <w:rPr>
            <w:rStyle w:val="Hyperlink"/>
            <w:noProof/>
          </w:rPr>
          <w:t>4.21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Obaveze za premiju i specifične obaveze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21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4" w:history="1">
        <w:r w:rsidR="008A2C4E" w:rsidRPr="00925037">
          <w:rPr>
            <w:rStyle w:val="Hyperlink"/>
            <w:noProof/>
          </w:rPr>
          <w:t>4.22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Kratkoročne obaveze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22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5" w:history="1">
        <w:r w:rsidR="008A2C4E" w:rsidRPr="00925037">
          <w:rPr>
            <w:rStyle w:val="Hyperlink"/>
            <w:noProof/>
          </w:rPr>
          <w:t>4.23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Pasivna vremenska razgraničenja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22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6" w:history="1">
        <w:r w:rsidR="008A2C4E" w:rsidRPr="00925037">
          <w:rPr>
            <w:rStyle w:val="Hyperlink"/>
            <w:noProof/>
          </w:rPr>
          <w:t>4.24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Rezervacija šteta neživotnih osiguranja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7" w:history="1">
        <w:r w:rsidR="008A2C4E" w:rsidRPr="00925037">
          <w:rPr>
            <w:rStyle w:val="Hyperlink"/>
            <w:noProof/>
          </w:rPr>
          <w:t>4.25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Druga pasivna razgraničenja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507483698" w:history="1">
        <w:r w:rsidR="008A2C4E" w:rsidRPr="00925037">
          <w:rPr>
            <w:rStyle w:val="Hyperlink"/>
            <w:noProof/>
            <w:lang w:val="sr-Latn-CS"/>
          </w:rPr>
          <w:t>5.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Note bilansa uspjeha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24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699" w:history="1">
        <w:r w:rsidR="008A2C4E" w:rsidRPr="00925037">
          <w:rPr>
            <w:rStyle w:val="Hyperlink"/>
            <w:noProof/>
            <w:lang w:val="sr-Latn-CS"/>
          </w:rPr>
          <w:t>5.1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Ostvarena premija po vrsti osiguranja i broju odrađenih polisa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_Toc507483699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24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0" w:history="1">
        <w:r w:rsidR="008A2C4E" w:rsidRPr="00925037">
          <w:rPr>
            <w:rStyle w:val="Hyperlink"/>
            <w:noProof/>
            <w:lang w:val="sr-Latn-CS"/>
          </w:rPr>
          <w:t>5.2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Prihodi po osnovu učešća reosiguravač</w:t>
        </w:r>
        <w:r w:rsidR="008A2C4E" w:rsidRPr="00925037">
          <w:rPr>
            <w:rStyle w:val="Hyperlink"/>
            <w:noProof/>
            <w:lang w:val="sr-Latn-CS"/>
          </w:rPr>
          <w:t>a u likvidiranim štetama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1" w:history="1">
        <w:r w:rsidR="008A2C4E" w:rsidRPr="00925037">
          <w:rPr>
            <w:rStyle w:val="Hyperlink"/>
            <w:noProof/>
            <w:lang w:val="sr-Latn-CS"/>
          </w:rPr>
          <w:t>5.3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Prihodi od povrata poreskih dadžbina,subvencija,dotacija,donacija i sl.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25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2" w:history="1">
        <w:r w:rsidR="008A2C4E" w:rsidRPr="00925037">
          <w:rPr>
            <w:rStyle w:val="Hyperlink"/>
            <w:noProof/>
            <w:lang w:val="sr-Latn-CS"/>
          </w:rPr>
          <w:t>5.4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Drugi poslovni prihodi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3" w:history="1">
        <w:r w:rsidR="008A2C4E" w:rsidRPr="00925037">
          <w:rPr>
            <w:rStyle w:val="Hyperlink"/>
            <w:noProof/>
            <w:lang w:val="sr-Latn-CS"/>
          </w:rPr>
          <w:t>5.5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Funkcionalni rashodi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26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4" w:history="1">
        <w:r w:rsidR="008A2C4E" w:rsidRPr="00925037">
          <w:rPr>
            <w:rStyle w:val="Hyperlink"/>
            <w:noProof/>
          </w:rPr>
          <w:t>5.6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Troškovi  šteta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5" w:history="1">
        <w:r w:rsidR="008A2C4E" w:rsidRPr="00925037">
          <w:rPr>
            <w:rStyle w:val="Hyperlink"/>
            <w:noProof/>
          </w:rPr>
          <w:t>5.7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Rashodi po osnovu premije reosiguranja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27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6" w:history="1">
        <w:r w:rsidR="008A2C4E" w:rsidRPr="00925037">
          <w:rPr>
            <w:rStyle w:val="Hyperlink"/>
            <w:noProof/>
          </w:rPr>
          <w:t>5.8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Troškovi rezervacije šteta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7" w:history="1">
        <w:r w:rsidR="008A2C4E" w:rsidRPr="00925037">
          <w:rPr>
            <w:rStyle w:val="Hyperlink"/>
            <w:noProof/>
          </w:rPr>
          <w:t>5.9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Troškovi sprovođenja osiguranja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8" w:history="1">
        <w:r w:rsidR="008A2C4E" w:rsidRPr="00925037">
          <w:rPr>
            <w:rStyle w:val="Hyperlink"/>
            <w:noProof/>
          </w:rPr>
          <w:t>Troškovi režije po vrsti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_Toc507483708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28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09" w:history="1">
        <w:r w:rsidR="008A2C4E" w:rsidRPr="00925037">
          <w:rPr>
            <w:rStyle w:val="Hyperlink"/>
            <w:noProof/>
          </w:rPr>
          <w:t>5.10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Finansijski prihodi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_Toc507483709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29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10" w:history="1">
        <w:r w:rsidR="008A2C4E" w:rsidRPr="00925037">
          <w:rPr>
            <w:rStyle w:val="Hyperlink"/>
            <w:noProof/>
          </w:rPr>
          <w:t>5.11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Finansijski rashodi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_Toc507483710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11" w:history="1">
        <w:r w:rsidR="008A2C4E" w:rsidRPr="00925037">
          <w:rPr>
            <w:rStyle w:val="Hyperlink"/>
            <w:noProof/>
          </w:rPr>
          <w:t>5.12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Ostali prihodi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_Toc507483711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12" w:history="1">
        <w:r w:rsidR="008A2C4E" w:rsidRPr="00925037">
          <w:rPr>
            <w:rStyle w:val="Hyperlink"/>
            <w:noProof/>
          </w:rPr>
          <w:t>5.13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Ostali rashodi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_Toc507483712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30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13" w:history="1">
        <w:r w:rsidR="008A2C4E" w:rsidRPr="00925037">
          <w:rPr>
            <w:rStyle w:val="Hyperlink"/>
            <w:noProof/>
          </w:rPr>
          <w:t>5.14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noProof/>
          </w:rPr>
          <w:t>Ostali rashodi od usklađivnja vrijednosti imovine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_Toc507483713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31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507483714" w:history="1">
        <w:r w:rsidR="008A2C4E" w:rsidRPr="00925037">
          <w:rPr>
            <w:rStyle w:val="Hyperlink"/>
            <w:noProof/>
            <w:lang w:val="sr-Latn-CS"/>
          </w:rPr>
          <w:t>6.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noProof/>
            <w:lang w:val="sr-Latn-CS"/>
          </w:rPr>
          <w:t>Note uz kretanje kapitala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_Toc507483714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15" w:history="1">
        <w:r w:rsidR="008A2C4E" w:rsidRPr="00925037">
          <w:rPr>
            <w:rStyle w:val="Hyperlink"/>
            <w:noProof/>
            <w:lang w:val="sr-Latn-CS"/>
          </w:rPr>
          <w:t>6.1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rFonts w:eastAsia="Times New Roman"/>
            <w:noProof/>
          </w:rPr>
          <w:t>Akcijski kapital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_Toc507483715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2"/>
        <w:rPr>
          <w:rFonts w:asciiTheme="minorHAnsi" w:eastAsiaTheme="minorEastAsia" w:hAnsiTheme="minorHAnsi"/>
          <w:noProof/>
          <w:lang w:val="sr-Latn-RS" w:eastAsia="sr-Latn-RS"/>
        </w:rPr>
      </w:pPr>
      <w:hyperlink w:anchor="_Toc507483716" w:history="1">
        <w:r w:rsidR="008A2C4E" w:rsidRPr="00925037">
          <w:rPr>
            <w:rStyle w:val="Hyperlink"/>
            <w:rFonts w:eastAsia="Times New Roman"/>
            <w:noProof/>
          </w:rPr>
          <w:t>6.2</w:t>
        </w:r>
        <w:r w:rsidR="008A2C4E">
          <w:rPr>
            <w:rFonts w:asciiTheme="minorHAnsi" w:eastAsiaTheme="minorEastAsia" w:hAnsiTheme="minorHAnsi"/>
            <w:noProof/>
            <w:lang w:val="sr-Latn-RS" w:eastAsia="sr-Latn-RS"/>
          </w:rPr>
          <w:tab/>
        </w:r>
        <w:r w:rsidR="008A2C4E" w:rsidRPr="00925037">
          <w:rPr>
            <w:rStyle w:val="Hyperlink"/>
            <w:rFonts w:eastAsia="Times New Roman"/>
            <w:noProof/>
          </w:rPr>
          <w:t>Kretanje kapitala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_Toc507483716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33</w:t>
        </w:r>
        <w:r w:rsidR="008A2C4E">
          <w:rPr>
            <w:noProof/>
            <w:webHidden/>
          </w:rPr>
          <w:fldChar w:fldCharType="end"/>
        </w:r>
      </w:hyperlink>
    </w:p>
    <w:p w:rsidR="008A2C4E" w:rsidRDefault="00062B6D">
      <w:pPr>
        <w:pStyle w:val="TOC1"/>
        <w:rPr>
          <w:rFonts w:asciiTheme="minorHAnsi" w:eastAsiaTheme="minorEastAsia" w:hAnsiTheme="minorHAnsi"/>
          <w:b w:val="0"/>
          <w:noProof/>
          <w:sz w:val="22"/>
          <w:lang w:val="sr-Latn-RS" w:eastAsia="sr-Latn-RS"/>
        </w:rPr>
      </w:pPr>
      <w:hyperlink w:anchor="_Toc507483717" w:history="1">
        <w:r w:rsidR="008A2C4E" w:rsidRPr="00925037">
          <w:rPr>
            <w:rStyle w:val="Hyperlink"/>
            <w:rFonts w:eastAsia="Times New Roman"/>
            <w:noProof/>
          </w:rPr>
          <w:t>7.</w:t>
        </w:r>
        <w:r w:rsidR="008A2C4E">
          <w:rPr>
            <w:rFonts w:asciiTheme="minorHAnsi" w:eastAsiaTheme="minorEastAsia" w:hAnsiTheme="minorHAnsi"/>
            <w:b w:val="0"/>
            <w:noProof/>
            <w:sz w:val="22"/>
            <w:lang w:val="sr-Latn-RS" w:eastAsia="sr-Latn-RS"/>
          </w:rPr>
          <w:tab/>
        </w:r>
        <w:r w:rsidR="008A2C4E" w:rsidRPr="00925037">
          <w:rPr>
            <w:rStyle w:val="Hyperlink"/>
            <w:rFonts w:eastAsia="Times New Roman"/>
            <w:noProof/>
          </w:rPr>
          <w:t>Note uz bilans novčanih tokova</w:t>
        </w:r>
        <w:r w:rsidR="008A2C4E">
          <w:rPr>
            <w:noProof/>
            <w:webHidden/>
          </w:rPr>
          <w:tab/>
        </w:r>
        <w:r w:rsidR="008A2C4E">
          <w:rPr>
            <w:noProof/>
            <w:webHidden/>
          </w:rPr>
          <w:fldChar w:fldCharType="begin"/>
        </w:r>
        <w:r w:rsidR="008A2C4E">
          <w:rPr>
            <w:noProof/>
            <w:webHidden/>
          </w:rPr>
          <w:instrText xml:space="preserve"> PAGEREF _Toc507483717 \h </w:instrText>
        </w:r>
        <w:r w:rsidR="008A2C4E">
          <w:rPr>
            <w:noProof/>
            <w:webHidden/>
          </w:rPr>
        </w:r>
        <w:r w:rsidR="008A2C4E">
          <w:rPr>
            <w:noProof/>
            <w:webHidden/>
          </w:rPr>
          <w:fldChar w:fldCharType="separate"/>
        </w:r>
        <w:r w:rsidR="008A2C4E">
          <w:rPr>
            <w:noProof/>
            <w:webHidden/>
          </w:rPr>
          <w:t>34</w:t>
        </w:r>
        <w:r w:rsidR="008A2C4E">
          <w:rPr>
            <w:noProof/>
            <w:webHidden/>
          </w:rPr>
          <w:fldChar w:fldCharType="end"/>
        </w:r>
      </w:hyperlink>
    </w:p>
    <w:p w:rsidR="00776104" w:rsidRPr="00AD44A2" w:rsidRDefault="001B5FEC">
      <w:pPr>
        <w:rPr>
          <w:lang w:val="sr-Latn-CS"/>
        </w:rPr>
      </w:pPr>
      <w:r w:rsidRPr="00AD44A2">
        <w:rPr>
          <w:lang w:val="sr-Latn-CS"/>
        </w:rPr>
        <w:fldChar w:fldCharType="end"/>
      </w: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>
      <w:pPr>
        <w:rPr>
          <w:lang w:val="sr-Latn-CS"/>
        </w:rPr>
      </w:pPr>
    </w:p>
    <w:p w:rsidR="00776104" w:rsidRPr="00AD44A2" w:rsidRDefault="00776104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28613E" w:rsidRPr="00AD44A2" w:rsidRDefault="0028613E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:rsidR="00776104" w:rsidRPr="00AD44A2" w:rsidRDefault="006D77D5" w:rsidP="006D77D5">
      <w:pPr>
        <w:pStyle w:val="Heading1"/>
        <w:rPr>
          <w:lang w:val="sr-Latn-CS"/>
        </w:rPr>
      </w:pPr>
      <w:bookmarkStart w:id="1" w:name="_Toc507483645"/>
      <w:bookmarkStart w:id="2" w:name="_Toc414267879"/>
      <w:r w:rsidRPr="00AD44A2">
        <w:rPr>
          <w:lang w:val="sr-Latn-CS"/>
        </w:rPr>
        <w:t xml:space="preserve">O </w:t>
      </w:r>
      <w:r w:rsidR="00776104" w:rsidRPr="00AD44A2">
        <w:rPr>
          <w:lang w:val="sr-Latn-CS"/>
        </w:rPr>
        <w:t>Društvu</w:t>
      </w:r>
      <w:bookmarkEnd w:id="1"/>
    </w:p>
    <w:p w:rsidR="00776104" w:rsidRPr="00AD44A2" w:rsidRDefault="00776104" w:rsidP="00776104">
      <w:pPr>
        <w:rPr>
          <w:lang w:val="sr-Latn-CS"/>
        </w:rPr>
      </w:pP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Rješenjem Osnovnog suda u Bijeljini od</w:t>
      </w:r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godine,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osiguranje“ Bijeljina, ulica Sremska broj 3 (u daljem tekstu Društvo).</w:t>
      </w:r>
    </w:p>
    <w:p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Sa Centralnim registrom hartija od vrijednosti a.d. Republike Srpske zaključen je Ugovor o registraciji HOV i vođenju računa emitenta broj: 04 – 178/2002 od dana 29.05.2002. godine, a kojim su uređeni međusobni odnosi iz osnova registracije HOV i vođenja knjige akcionara.</w:t>
      </w:r>
    </w:p>
    <w:p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31.12.201</w:t>
      </w:r>
      <w:r w:rsidR="00212935">
        <w:rPr>
          <w:rFonts w:asciiTheme="majorHAnsi" w:hAnsiTheme="majorHAnsi"/>
          <w:lang w:val="sr-Latn-CS"/>
        </w:rPr>
        <w:t>7</w:t>
      </w:r>
      <w:r w:rsidRPr="00AD44A2">
        <w:rPr>
          <w:rFonts w:asciiTheme="majorHAnsi" w:hAnsiTheme="majorHAnsi"/>
        </w:rPr>
        <w:t xml:space="preserve">. godine iznosi </w:t>
      </w:r>
      <w:r w:rsidRPr="00AD44A2">
        <w:rPr>
          <w:rFonts w:asciiTheme="majorHAnsi" w:hAnsiTheme="majorHAnsi"/>
          <w:lang w:val="sr-Cyrl-CS"/>
        </w:rPr>
        <w:t>9</w:t>
      </w:r>
      <w:r w:rsidRPr="00AD44A2">
        <w:rPr>
          <w:rFonts w:asciiTheme="majorHAnsi" w:hAnsiTheme="majorHAnsi"/>
        </w:rPr>
        <w:t>.000.000,00KM (4</w:t>
      </w:r>
      <w:r w:rsidRPr="00AD44A2">
        <w:rPr>
          <w:rFonts w:asciiTheme="majorHAnsi" w:hAnsiTheme="majorHAnsi"/>
          <w:lang w:val="sr-Cyrl-CS"/>
        </w:rPr>
        <w:t>5</w:t>
      </w:r>
      <w:r w:rsidRPr="00AD44A2">
        <w:rPr>
          <w:rFonts w:asciiTheme="majorHAnsi" w:hAnsiTheme="majorHAnsi"/>
        </w:rPr>
        <w:t xml:space="preserve">00 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2"/>
    <w:p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8.860.000,00KM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140.000,00KM</w:t>
            </w:r>
          </w:p>
        </w:tc>
        <w:tc>
          <w:tcPr>
            <w:tcW w:w="1149" w:type="dxa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:rsidTr="00776104">
        <w:trPr>
          <w:trHeight w:hRule="exact" w:val="98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:rsidTr="00776104">
        <w:trPr>
          <w:trHeight w:hRule="exact" w:val="12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:rsidTr="00776104">
        <w:trPr>
          <w:trHeight w:hRule="exact" w:val="1273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776104" w:rsidRPr="00AD44A2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:rsidTr="00776104">
        <w:trPr>
          <w:trHeight w:val="232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D24A9F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9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Predsjednik UO: Risto Vuković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Član UO: Milan Trišić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Pavlović International bank a.d., Bijeljina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Addiko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:rsidR="00F40CA0" w:rsidRPr="00AD44A2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Mostar</w:t>
            </w:r>
            <w:r w:rsidR="00F40CA0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  </w:t>
            </w:r>
          </w:p>
        </w:tc>
      </w:tr>
    </w:tbl>
    <w:p w:rsidR="00776104" w:rsidRPr="00AD44A2" w:rsidRDefault="00776104" w:rsidP="00776104">
      <w:pPr>
        <w:tabs>
          <w:tab w:val="left" w:pos="2655"/>
        </w:tabs>
        <w:rPr>
          <w:rFonts w:asciiTheme="majorHAnsi" w:hAnsiTheme="majorHAnsi"/>
          <w:lang w:val="sr-Latn-CS"/>
        </w:rPr>
      </w:pPr>
    </w:p>
    <w:p w:rsidR="00FB2DC7" w:rsidRDefault="00776104" w:rsidP="00FB2DC7">
      <w:pPr>
        <w:pStyle w:val="Heading1"/>
        <w:rPr>
          <w:lang w:val="sr-Latn-CS"/>
        </w:rPr>
      </w:pPr>
      <w:bookmarkStart w:id="3" w:name="_Toc507483646"/>
      <w:r w:rsidRPr="00F17E37">
        <w:rPr>
          <w:lang w:val="sr-Latn-CS"/>
        </w:rPr>
        <w:t>Računovodstvene politike i aktuarske metode</w:t>
      </w:r>
      <w:bookmarkEnd w:id="3"/>
    </w:p>
    <w:p w:rsidR="005D0C26" w:rsidRPr="005D0C26" w:rsidRDefault="005D0C26" w:rsidP="005D0C26">
      <w:pPr>
        <w:rPr>
          <w:lang w:val="sr-Latn-CS"/>
        </w:rPr>
      </w:pPr>
    </w:p>
    <w:p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br.94,15),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:rsidR="006D77D5" w:rsidRPr="00F17E37" w:rsidRDefault="00F2781C" w:rsidP="00F2781C">
      <w:pPr>
        <w:pStyle w:val="Heading1"/>
      </w:pPr>
      <w:bookmarkStart w:id="4" w:name="_Toc507483647"/>
      <w:r w:rsidRPr="00F17E37">
        <w:t>Primj</w:t>
      </w:r>
      <w:r w:rsidR="00776104" w:rsidRPr="00F17E37">
        <w:t>enjene računovodstvene politike Društva</w:t>
      </w:r>
      <w:bookmarkEnd w:id="4"/>
    </w:p>
    <w:p w:rsidR="00047C96" w:rsidRPr="00F17E37" w:rsidRDefault="00776104" w:rsidP="00047C96">
      <w:pPr>
        <w:pStyle w:val="Heading2"/>
      </w:pPr>
      <w:bookmarkStart w:id="5" w:name="_Toc507483648"/>
      <w:r w:rsidRPr="00F17E37">
        <w:t xml:space="preserve">Nematerijalna ulaganja </w:t>
      </w:r>
      <w:r w:rsidR="00047C96" w:rsidRPr="00F17E37">
        <w:t>–</w:t>
      </w:r>
      <w:r w:rsidRPr="00F17E37">
        <w:t xml:space="preserve"> imovina</w:t>
      </w:r>
      <w:bookmarkEnd w:id="5"/>
    </w:p>
    <w:p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Uslov za priznavanje je mogućnost indentifikacije i oočekivane  buduće koristi:softveri,ulaganje u razvoj,koncesije,patente,licence i sl.</w:t>
      </w:r>
    </w:p>
    <w:p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:rsidR="00047C96" w:rsidRPr="00F17E37" w:rsidRDefault="00776104" w:rsidP="00047C96">
      <w:pPr>
        <w:pStyle w:val="Heading2"/>
      </w:pPr>
      <w:bookmarkStart w:id="6" w:name="_Toc507483649"/>
      <w:r w:rsidRPr="00F17E37">
        <w:t>Nekretnine,postrojenja i oprema</w:t>
      </w:r>
      <w:bookmarkEnd w:id="6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 xml:space="preserve">epristizati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lastRenderedPageBreak/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neposrednokao ostali rashodi u okviru ostalih rashoda poslovanja.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Sitan inventar koji se ne klasifikuje kao stalno srestvo iskazuje se na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7" w:name="_Toc507483650"/>
      <w:r w:rsidRPr="00F17E37">
        <w:t>Amortizacija</w:t>
      </w:r>
      <w:bookmarkEnd w:id="7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Amortizacija </w:t>
      </w:r>
      <w:r w:rsidRPr="00F17E37">
        <w:rPr>
          <w:rFonts w:asciiTheme="majorHAnsi" w:hAnsiTheme="majorHAnsi"/>
          <w:lang w:val="sr-Cyrl-CS"/>
        </w:rPr>
        <w:t xml:space="preserve">nekretnina ,postrojenja i opreme </w:t>
      </w:r>
      <w:r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neotpisana vrijednost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vijeka trajanja</w:t>
      </w:r>
      <w:r w:rsidR="00402A07" w:rsidRPr="00F17E37">
        <w:rPr>
          <w:rFonts w:asciiTheme="majorHAnsi" w:hAnsiTheme="majorHAnsi"/>
          <w:lang w:val="sr-Latn-CS"/>
        </w:rPr>
        <w:t>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8" w:name="_Toc507483651"/>
      <w:r w:rsidRPr="00F17E37">
        <w:t>Investicione nekretnine</w:t>
      </w:r>
      <w:bookmarkEnd w:id="8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Investicione nekretnine u skladu sa MRS-40 Ulaganja u nekretnine,su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lastRenderedPageBreak/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9" w:name="_Toc507483652"/>
      <w:r w:rsidRPr="00F17E37">
        <w:t>Učešće u kapitalu</w:t>
      </w:r>
      <w:bookmarkEnd w:id="9"/>
    </w:p>
    <w:p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Učešće u kapitalu procjenjuje se po nabavnoj vrijednosti ili tržišnoj vrijednosti </w:t>
      </w:r>
      <w:r w:rsidRPr="00F17E37">
        <w:rPr>
          <w:rFonts w:asciiTheme="majorHAnsi" w:hAnsiTheme="majorHAnsi"/>
          <w:lang w:val="sr-Cyrl-CS"/>
        </w:rPr>
        <w:t>ako je ona niža.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0" w:name="_Toc507483653"/>
      <w:r w:rsidRPr="00F17E37">
        <w:t>Dugoročni finansijski plasmani</w:t>
      </w:r>
      <w:bookmarkEnd w:id="10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Dugoročni finansijski plasmani se iskazuju po nom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>nalnoj vrijednosti na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Ukoliko plasmani dospjevaju duže od godinu dana od dana činidbe odnosno od dana bilansiranja smatraju sedugoročnim plasmanima.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1" w:name="_Toc507483654"/>
      <w:r w:rsidRPr="00F17E37">
        <w:t>Zalihe mat</w:t>
      </w:r>
      <w:r w:rsidRPr="00F17E37">
        <w:rPr>
          <w:lang w:val="sr-Cyrl-BA"/>
        </w:rPr>
        <w:t>e</w:t>
      </w:r>
      <w:r w:rsidRPr="00F17E37">
        <w:t>rijala</w:t>
      </w:r>
      <w:bookmarkEnd w:id="11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Zalihe se u skladu sa MRS-2 Zalihe, iskazuju po nabavnoj vrijednosti.Nabavnu vrijednost čini vrijednost po fakturi dobavljača uvećanu za zavisne troškove nabavke.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2" w:name="_Toc507483655"/>
      <w:r w:rsidRPr="00F17E37">
        <w:t>Kratkoročn</w:t>
      </w:r>
      <w:r w:rsidRPr="00F17E37">
        <w:rPr>
          <w:lang w:val="sr-Cyrl-CS"/>
        </w:rPr>
        <w:t>i finansijski plasmani</w:t>
      </w:r>
      <w:bookmarkEnd w:id="1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Kratkoročni finansijski plasmani  se iskazuju  po nominalnoj vrijednosti na dan ulaganja.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Plasmani koji dospjevaju do roka jedne godine od dana činidbe odnosno od dana bilansiranja smatraju sekratkoročnim finansijskim plasmanima.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3" w:name="_Toc507483656"/>
      <w:r w:rsidRPr="00F17E37">
        <w:lastRenderedPageBreak/>
        <w:t>Hartije od vrijednost</w:t>
      </w:r>
      <w:r w:rsidR="00402A07" w:rsidRPr="00F17E37">
        <w:t>i</w:t>
      </w:r>
      <w:bookmarkEnd w:id="1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namjenjeneprodaji  i prvobitno se iskazuju po  nabavnoj vrijednosti,a na dan bilansa stanja po tržišnoj vrijednosti.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prodaje,odnosno promjene tržišne vrijednosti ovih XOV se priznaju u korist ostalih prihoda odnosno na teret ostalih rashoda u bilansu uspjeha u skladu sa MRS-39Finansijski instrumenti,priznavanje i mjerenje.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4" w:name="_Toc507483657"/>
      <w:r w:rsidRPr="00F17E37">
        <w:t>Kratkoročna potraživanja</w:t>
      </w:r>
      <w:bookmarkEnd w:id="14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obuhvataju:potraživanja za premiju,učešća u naknadama šteta u zemlji,potraživanja  za regrese,zakupe i ostala potraživanja.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 xml:space="preserve">Ukoliko Društvo procjeni da dospjela potraživanja neće biti moguće naplatiti istekom vremenskog perioda od godinu dana od momenta dospjelosti,vršit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>Ispravka vrijednosti potraživanja se vrši i po Pravilniku o procjenjivanju bilansnih i vanbilansnih  pozicija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:rsidR="00776104" w:rsidRPr="00F17E37" w:rsidRDefault="00776104" w:rsidP="00047C96">
      <w:pPr>
        <w:pStyle w:val="Heading2"/>
      </w:pPr>
      <w:bookmarkStart w:id="15" w:name="_Toc507483658"/>
      <w:r w:rsidRPr="00F17E37">
        <w:t>A</w:t>
      </w:r>
      <w:r w:rsidR="006D7B59">
        <w:t>ktivna vremenska razgraničenja</w:t>
      </w:r>
      <w:bookmarkEnd w:id="15"/>
    </w:p>
    <w:p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poziciji vremenskih razgraničenja iskazuju se obračunati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Pr="00F17E37">
        <w:rPr>
          <w:rFonts w:asciiTheme="majorHAnsi" w:hAnsiTheme="majorHAnsi"/>
        </w:rPr>
        <w:t>prihodi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edplaćeni troškovi</w:t>
      </w:r>
      <w:r w:rsidRPr="00F17E37">
        <w:rPr>
          <w:rFonts w:asciiTheme="majorHAnsi" w:hAnsiTheme="majorHAnsi"/>
          <w:lang w:val="sr-Cyrl-CS"/>
        </w:rPr>
        <w:t xml:space="preserve"> i prenosna premija koja pada na teret reosiguravača.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6" w:name="_Toc507483659"/>
      <w:r w:rsidRPr="00F17E37">
        <w:t>Gotovinski ekvivalenti i  gotovina</w:t>
      </w:r>
      <w:bookmarkEnd w:id="16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Gotovinski ekvivalenti i  gotovina uključuju se u bilans u nominalnom iznosu kao što su gotovina u blagajni depoziti kod komercijalnih banaka,kao i visoko likvidna sredstva koja se mogu brzo konvertovati u poznate iznose gotovine.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iz blagajne se vrši u skladu sa uredbom o uslovima i načinu plaćanja gotovim novcem.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7" w:name="_Toc507483660"/>
      <w:r w:rsidRPr="00F17E37">
        <w:t>Preračunavanje deviznih iznosa</w:t>
      </w:r>
      <w:bookmarkEnd w:id="17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 skladu sa MRS 21-Efekti promjene kurseva stranih valuta,poslovne promjene nastale u stranoj valuti se preračunavaju  u Konvertibilne marke po srednjem kursu koji je važio da dan poslovne promjene. 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Sredstva i obaveze izkazane u stranoj valuti na dan bilansa stanja,preračunavaju se u KM po zvaničnom kursu koji je važio na taj dan po izvještaju centralne banke BiH.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>Neto pozitivne ili negativne kursne razlike nastale prilikom poslovnih transakcija u stranoj valuti i prilikom preračuna pozicija bilansa stanja  iskazanih u  stranoj valuti knjižene su u korist ili na teret bilansa uspjeha,kaodobici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8" w:name="_Toc507483661"/>
      <w:r w:rsidRPr="00F17E37">
        <w:t>Kapital</w:t>
      </w:r>
      <w:bookmarkEnd w:id="18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unominalnom iznos</w:t>
      </w:r>
      <w:r w:rsidRPr="00F17E37">
        <w:rPr>
          <w:rFonts w:asciiTheme="majorHAnsi" w:hAnsiTheme="majorHAnsi"/>
          <w:lang w:val="sr-Cyrl-CS"/>
        </w:rPr>
        <w:t>u</w:t>
      </w:r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 kapital,emisiona premija, rezervni kapital,revalorizacione rezerve i neraspoređena dobit.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Akcijski kapital je utvrđen u skladu sa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Neraspoređena dobit se izkazuje po nominalnoj vrijednosti  poslovne godine iz bilansa uspjeha.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stava,uništenjem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19" w:name="_Toc507483662"/>
      <w:r w:rsidRPr="00F17E37">
        <w:t>Rezervisanja za primanja zaposlenih</w:t>
      </w:r>
      <w:bookmarkEnd w:id="19"/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Rezervisanja za primanja zaposlenih se vrši u skladu sa MRS 19.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0" w:name="_Toc507483663"/>
      <w:r w:rsidRPr="00F17E37">
        <w:t>Kratkoročne obaveze</w:t>
      </w:r>
      <w:bookmarkEnd w:id="20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:rsidR="00776104" w:rsidRPr="00F17E37" w:rsidRDefault="00776104" w:rsidP="00047C96">
      <w:pPr>
        <w:pStyle w:val="Heading2"/>
        <w:rPr>
          <w:lang w:val="sr-Cyrl-BA"/>
        </w:rPr>
      </w:pPr>
      <w:bookmarkStart w:id="21" w:name="_Toc507483664"/>
      <w:r w:rsidRPr="00F17E37">
        <w:t>P</w:t>
      </w:r>
      <w:r w:rsidR="00D27909">
        <w:t>asivna vremenska razgraničenja</w:t>
      </w:r>
      <w:bookmarkEnd w:id="21"/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>smanjuju se prihodi od premije a u korist PVRa smanjenjem prenosne premije(PVR) povećavaju se prihodi od premije.</w:t>
      </w:r>
    </w:p>
    <w:p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od</w:t>
      </w:r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2" w:name="_Toc507483665"/>
      <w:r w:rsidRPr="00F17E37">
        <w:t>Rezervisanja sre</w:t>
      </w:r>
      <w:r w:rsidRPr="00F17E37">
        <w:rPr>
          <w:lang w:val="sr-Cyrl-BA"/>
        </w:rPr>
        <w:t>d</w:t>
      </w:r>
      <w:r w:rsidRPr="00F17E37">
        <w:t>stava za nastale prijavljene,a nelikvidirane štete</w:t>
      </w:r>
      <w:bookmarkEnd w:id="22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dokumentacije,nije moguće izvršiti takvu procjenu,rezervacija </w:t>
      </w:r>
      <w:r w:rsidRPr="00F17E37">
        <w:rPr>
          <w:rFonts w:asciiTheme="majorHAnsi" w:hAnsiTheme="majorHAnsi"/>
        </w:rPr>
        <w:lastRenderedPageBreak/>
        <w:t>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Štete u sporu rezervišu se u iznosu za koji se očekuje da bi mogao biti utvrđen od strane suda.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3" w:name="_Toc507483666"/>
      <w:r w:rsidRPr="00F17E37">
        <w:t>Rezervisanja za nastale a ne prijavljene štete</w:t>
      </w:r>
      <w:bookmarkEnd w:id="23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>ja na jedan od sledeća dva aktuarska meoda: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1)Metod na osnovu podataka o riješenim i rezervisanim(nastalim prijavljenim a neriješenim)štetama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2)Metod ulančanih ljestvica</w:t>
      </w:r>
      <w:r w:rsidRPr="00F17E37">
        <w:rPr>
          <w:rFonts w:asciiTheme="majorHAnsi" w:hAnsiTheme="majorHAnsi"/>
          <w:lang w:val="sr-Cyrl-BA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godina,a osnovni metod ulančanih ljestvica primjenjuje kod onih vrsta osiguranja kojima se bavii za koje ima podatke o likvidiranim i rezervisanim štetama od najmanje pet godina unazad.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4" w:name="_Toc507483667"/>
      <w:r w:rsidRPr="00F17E37">
        <w:t>Idvojena sre</w:t>
      </w:r>
      <w:r w:rsidRPr="00F17E37">
        <w:rPr>
          <w:lang w:val="sr-Cyrl-BA"/>
        </w:rPr>
        <w:t>d</w:t>
      </w:r>
      <w:r w:rsidRPr="00F17E37">
        <w:t>stva za preventivu</w:t>
      </w:r>
      <w:bookmarkEnd w:id="24"/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sa maksimalnim stopama režijskog dodatka. 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stva za preventivu se mogu koristiti za potrebe preventive u skladu sa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:rsidR="00776104" w:rsidRPr="00F17E37" w:rsidRDefault="001C7472" w:rsidP="00047C96">
      <w:pPr>
        <w:pStyle w:val="Heading2"/>
        <w:rPr>
          <w:lang w:val="sr-Latn-CS"/>
        </w:rPr>
      </w:pPr>
      <w:bookmarkStart w:id="25" w:name="_Toc507483668"/>
      <w:r w:rsidRPr="00F17E37">
        <w:t>Prihodi i rashodi</w:t>
      </w:r>
      <w:bookmarkEnd w:id="25"/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Poslovni  prihodi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Prihodi od premije ostalih osiguranja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ostalih osiguranja u skladu sa MRS 18-Prihodi,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lastRenderedPageBreak/>
        <w:t>Prihod od premije se umanjuje za iznos prenosne premije obračunate na kraju obračunskog perioda a koja predstavlja prihod budućeg obračunskog perioda (BPP).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Bruto perenosna premija se obračunava metodom"PRO RATA TEMPORIS" za ona osiguranja kod kojih osiguravajuće pokriće traje i posle isteka obračunskog perioda s ciljem ispunjavanja obaveza koje će nastatinakon obračunskog perioda koje proizilaze iz ugovora o osiguranju i to za sve vrste osiguranja kojom se društvo bavi.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regres,vansudskim poravnanjem ili putem suda).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Provizija i drugi odgovarajući troškovi koje se mogu odnositi na prenosne premije se ne razgraničavaju,većidu na teret ukupnog prihoda perioda u kome nastanu.</w:t>
      </w:r>
    </w:p>
    <w:p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prihode  čine:prihodi od kamata,pozitivne kursne razlike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Finansijske rashode čine: negativne kursne razlike,rashodi kamata i slično.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čine:prihodi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čine:gubici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:rsidR="00776104" w:rsidRPr="00F17E37" w:rsidRDefault="00776104" w:rsidP="00047C96">
      <w:pPr>
        <w:pStyle w:val="Heading2"/>
        <w:rPr>
          <w:lang w:val="sr-Latn-CS"/>
        </w:rPr>
      </w:pPr>
      <w:bookmarkStart w:id="26" w:name="_Toc507483669"/>
      <w:r w:rsidRPr="00F17E37">
        <w:rPr>
          <w:lang w:val="sr-Latn-CS"/>
        </w:rPr>
        <w:t>Ispravljanje grešaka</w:t>
      </w:r>
      <w:bookmarkEnd w:id="26"/>
    </w:p>
    <w:p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:rsidR="00776104" w:rsidRPr="00F17E37" w:rsidRDefault="00776104" w:rsidP="00C005F9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>Naknadno ustanovljene greške koje nisu materijalno značajne ispravljaju se na teret rashoda,odnosno u korist prihoda perioda u kome su indentifikovane.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  <w:lang w:val="sr-Latn-CS"/>
        </w:rPr>
      </w:pPr>
    </w:p>
    <w:p w:rsidR="00776104" w:rsidRPr="00F17E37" w:rsidRDefault="00776104" w:rsidP="00047C96">
      <w:pPr>
        <w:pStyle w:val="Heading2"/>
      </w:pPr>
      <w:bookmarkStart w:id="27" w:name="_Toc507483670"/>
      <w:r w:rsidRPr="00F17E37">
        <w:t>Pravila procjenjivanja</w:t>
      </w:r>
      <w:bookmarkEnd w:id="27"/>
    </w:p>
    <w:p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776104" w:rsidRPr="00F17E37">
        <w:rPr>
          <w:rFonts w:asciiTheme="majorHAnsi" w:hAnsiTheme="majorHAnsi"/>
          <w:bCs/>
        </w:rPr>
        <w:t>Osnovno pravilo procjenjivanja bilansnih pozicija je primjena nabavnih cijena ili cijen</w:t>
      </w:r>
      <w:r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koštanja a kod naknadnog vrednovanja koristi se metod</w:t>
      </w:r>
      <w:r w:rsidRPr="00F17E37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naveden u računovodstvenim politikama.</w:t>
      </w:r>
    </w:p>
    <w:p w:rsidR="00776104" w:rsidRPr="00F17E37" w:rsidRDefault="00776104" w:rsidP="00047C96">
      <w:pPr>
        <w:pStyle w:val="Heading2"/>
      </w:pPr>
      <w:bookmarkStart w:id="28" w:name="_Toc507483671"/>
      <w:r w:rsidRPr="00F17E37">
        <w:t>Načelo poslovanja</w:t>
      </w:r>
      <w:bookmarkEnd w:id="28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poslovanja,koje predpostavlja da će Društvo nastaviti da posluje u budućnosti</w:t>
      </w:r>
      <w:r w:rsidR="00402A07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KM,korišteni su sledeći kursevi:</w:t>
      </w:r>
    </w:p>
    <w:p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1,95583</w:t>
      </w:r>
      <w:r w:rsidR="001E1F49" w:rsidRPr="00F17E37">
        <w:rPr>
          <w:rFonts w:asciiTheme="majorHAnsi" w:hAnsiTheme="majorHAnsi"/>
          <w:bCs/>
        </w:rPr>
        <w:t>,CHF 1,</w:t>
      </w:r>
      <w:r w:rsidR="009F07A8" w:rsidRPr="00F17E37">
        <w:rPr>
          <w:rFonts w:asciiTheme="majorHAnsi" w:hAnsiTheme="majorHAnsi"/>
          <w:bCs/>
        </w:rPr>
        <w:t>671364</w:t>
      </w:r>
      <w:r w:rsidR="001E1F49" w:rsidRPr="00F17E37">
        <w:rPr>
          <w:rFonts w:asciiTheme="majorHAnsi" w:hAnsiTheme="majorHAnsi"/>
          <w:bCs/>
        </w:rPr>
        <w:t>,USD 1,</w:t>
      </w:r>
      <w:r w:rsidR="009F07A8" w:rsidRPr="00F17E37">
        <w:rPr>
          <w:rFonts w:asciiTheme="majorHAnsi" w:hAnsiTheme="majorHAnsi"/>
          <w:bCs/>
        </w:rPr>
        <w:t>6</w:t>
      </w:r>
      <w:r w:rsidR="00A74A58" w:rsidRPr="00F17E37">
        <w:rPr>
          <w:rFonts w:asciiTheme="majorHAnsi" w:hAnsiTheme="majorHAnsi"/>
          <w:bCs/>
        </w:rPr>
        <w:t>3081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GBP2,</w:t>
      </w:r>
      <w:r w:rsidR="00A74A58" w:rsidRPr="00F17E37">
        <w:rPr>
          <w:rFonts w:asciiTheme="majorHAnsi" w:hAnsiTheme="majorHAnsi"/>
          <w:bCs/>
        </w:rPr>
        <w:t>204423</w:t>
      </w:r>
      <w:r w:rsidR="001E1F49" w:rsidRPr="00F17E37">
        <w:rPr>
          <w:rFonts w:asciiTheme="majorHAnsi" w:hAnsiTheme="majorHAnsi"/>
          <w:bCs/>
        </w:rPr>
        <w:t>.</w:t>
      </w:r>
    </w:p>
    <w:p w:rsidR="00F2781C" w:rsidRPr="00F17E37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Finansijski izvještaji su prezentovani u skladu sa Pravilnikom o kontnom okviru i sadržini računa u kontnom okviru društava za osiguranje(Sl.gl.RS br.108/15) i novim bilansnim šemama prema Pravilniku o sadržini i formi obrazaca finansijskih izvještaja za društva za osiguranje(Sl.gl.RS br.63/15).</w:t>
      </w:r>
    </w:p>
    <w:p w:rsidR="009767AA" w:rsidRPr="00F17E37" w:rsidRDefault="009767AA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AE1E89" w:rsidRPr="00F17E37" w:rsidRDefault="00AE1E89" w:rsidP="00F2781C">
      <w:pPr>
        <w:spacing w:line="360" w:lineRule="auto"/>
        <w:jc w:val="both"/>
        <w:rPr>
          <w:rFonts w:asciiTheme="majorHAnsi" w:hAnsiTheme="majorHAnsi"/>
          <w:bCs/>
        </w:rPr>
      </w:pPr>
    </w:p>
    <w:p w:rsidR="006D77D5" w:rsidRDefault="00F10BF2" w:rsidP="006D77D5">
      <w:pPr>
        <w:pStyle w:val="Heading1"/>
      </w:pPr>
      <w:bookmarkStart w:id="29" w:name="_Toc507483672"/>
      <w:r w:rsidRPr="00F17E37">
        <w:lastRenderedPageBreak/>
        <w:t>Note bilansa stanja</w:t>
      </w:r>
      <w:bookmarkEnd w:id="29"/>
    </w:p>
    <w:p w:rsidR="00C32231" w:rsidRPr="00C32231" w:rsidRDefault="00C32231" w:rsidP="00C32231"/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Bilans stanja kao finansijski izvještaj  koji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874" w:type="dxa"/>
        <w:tblInd w:w="103" w:type="dxa"/>
        <w:tblLook w:val="04A0" w:firstRow="1" w:lastRow="0" w:firstColumn="1" w:lastColumn="0" w:noHBand="0" w:noVBand="1"/>
      </w:tblPr>
      <w:tblGrid>
        <w:gridCol w:w="830"/>
        <w:gridCol w:w="830"/>
        <w:gridCol w:w="1541"/>
        <w:gridCol w:w="1423"/>
        <w:gridCol w:w="1120"/>
        <w:gridCol w:w="1632"/>
        <w:gridCol w:w="1238"/>
        <w:gridCol w:w="1260"/>
      </w:tblGrid>
      <w:tr w:rsidR="00776104" w:rsidRPr="00F17E37" w:rsidTr="00D16829">
        <w:trPr>
          <w:trHeight w:val="72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776104" w:rsidRPr="00F17E37" w:rsidTr="00D16829">
        <w:trPr>
          <w:trHeight w:val="72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104" w:rsidRPr="00F17E37" w:rsidTr="00D16829">
        <w:trPr>
          <w:trHeight w:val="80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C4566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36.854.133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22485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C4566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E1A7A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20.090.03</w:t>
            </w:r>
            <w:r w:rsidR="00A17487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1748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49,17</w:t>
            </w:r>
          </w:p>
        </w:tc>
      </w:tr>
      <w:tr w:rsidR="00776104" w:rsidRPr="00F17E37" w:rsidTr="00D16829">
        <w:trPr>
          <w:trHeight w:val="72"/>
        </w:trPr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72</w:t>
            </w:r>
            <w:r w:rsidR="00AE1A7A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1748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0,18</w:t>
            </w:r>
          </w:p>
        </w:tc>
      </w:tr>
      <w:tr w:rsidR="00776104" w:rsidRPr="00F17E37" w:rsidTr="00D16829">
        <w:trPr>
          <w:trHeight w:val="72"/>
        </w:trPr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4.002.165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22485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1748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1.752.176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1748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4,29</w:t>
            </w:r>
          </w:p>
        </w:tc>
      </w:tr>
      <w:tr w:rsidR="00776104" w:rsidRPr="00F17E37" w:rsidTr="00D16829">
        <w:trPr>
          <w:trHeight w:val="82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PVR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18.941.175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1748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46,36</w:t>
            </w:r>
          </w:p>
        </w:tc>
      </w:tr>
      <w:tr w:rsidR="00776104" w:rsidRPr="00F17E37" w:rsidTr="00D16829">
        <w:trPr>
          <w:trHeight w:val="78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40.856.298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22485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B23672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667EF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17487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40.856.298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B49DE" w:rsidP="00667EF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AE1E89" w:rsidRPr="00F17E37" w:rsidRDefault="00AE1E89" w:rsidP="00591E04">
      <w:pPr>
        <w:tabs>
          <w:tab w:val="left" w:pos="426"/>
        </w:tabs>
        <w:spacing w:line="240" w:lineRule="auto"/>
        <w:rPr>
          <w:rFonts w:asciiTheme="majorHAnsi" w:hAnsiTheme="majorHAnsi"/>
          <w:bCs/>
        </w:rPr>
      </w:pPr>
    </w:p>
    <w:p w:rsidR="00776104" w:rsidRPr="00F17E37" w:rsidRDefault="00776104" w:rsidP="00591E04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>NOTA 1.(AOP 001</w:t>
      </w:r>
      <w:r w:rsidR="00332FD8" w:rsidRPr="00F17E37">
        <w:rPr>
          <w:rFonts w:asciiTheme="majorHAnsi" w:hAnsiTheme="majorHAnsi"/>
          <w:b/>
        </w:rPr>
        <w:t>)</w:t>
      </w:r>
    </w:p>
    <w:p w:rsidR="00C326C3" w:rsidRPr="00F17E37" w:rsidRDefault="00C326C3" w:rsidP="00AE1E89">
      <w:pPr>
        <w:pStyle w:val="Heading2"/>
        <w:spacing w:after="0"/>
      </w:pPr>
      <w:bookmarkStart w:id="30" w:name="_Toc507483673"/>
      <w:r w:rsidRPr="00F17E37">
        <w:t xml:space="preserve">Stalna </w:t>
      </w:r>
      <w:r w:rsidR="00332FD8" w:rsidRPr="00F17E37">
        <w:t>imovina</w:t>
      </w:r>
      <w:bookmarkEnd w:id="30"/>
    </w:p>
    <w:p w:rsidR="00776104" w:rsidRPr="00F17E37" w:rsidRDefault="00671B3F" w:rsidP="00AD73AA">
      <w:pPr>
        <w:tabs>
          <w:tab w:val="left" w:pos="2977"/>
          <w:tab w:val="left" w:pos="4678"/>
          <w:tab w:val="left" w:pos="4820"/>
        </w:tabs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E51992" w:rsidRPr="00F17E37"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ulaganja,nekretnina,opreme,investicionih nekretnina ,nekretnine u pripremi,učešća u kapitalu zavisnih pravnih lica,dugoročnih finansijskih plasmana i ostalih finansijskih plasmana.</w:t>
      </w:r>
    </w:p>
    <w:tbl>
      <w:tblPr>
        <w:tblW w:w="9523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76"/>
        <w:gridCol w:w="1427"/>
        <w:gridCol w:w="1115"/>
        <w:gridCol w:w="1227"/>
        <w:gridCol w:w="1705"/>
        <w:gridCol w:w="818"/>
      </w:tblGrid>
      <w:tr w:rsidR="00776104" w:rsidRPr="00F17E37" w:rsidTr="00DF727C">
        <w:trPr>
          <w:trHeight w:val="124"/>
        </w:trPr>
        <w:tc>
          <w:tcPr>
            <w:tcW w:w="5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C62EA" w:rsidP="006D75F0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201</w:t>
            </w:r>
            <w:r w:rsidR="005E60A7" w:rsidRPr="00F17E37">
              <w:rPr>
                <w:rFonts w:asciiTheme="majorHAnsi" w:hAnsiTheme="majorHAnsi"/>
                <w:b/>
                <w:bCs/>
                <w:color w:val="000000"/>
              </w:rPr>
              <w:t>7</w:t>
            </w:r>
            <w:r w:rsidR="00776104"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:rsidTr="00DF727C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1" w:name="OLE_LINK1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31.12.201</w:t>
            </w:r>
            <w:r w:rsidR="0045521B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:rsidTr="00DF727C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151.462,17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7.138,91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D77ED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158.601,08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F024DC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0,52</w:t>
            </w:r>
          </w:p>
        </w:tc>
      </w:tr>
      <w:tr w:rsidR="00D16829" w:rsidRPr="00F17E37" w:rsidTr="00DF727C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2.159.913,45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2.500.000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4.659.913,45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F024DC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15,</w:t>
            </w:r>
            <w:r w:rsidR="00B61E32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88</w:t>
            </w:r>
          </w:p>
        </w:tc>
      </w:tr>
      <w:tr w:rsidR="00D16829" w:rsidRPr="00F17E37" w:rsidTr="00DF727C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9.645.433,15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6.240,00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9.639.193,15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61E32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32,84</w:t>
            </w:r>
          </w:p>
        </w:tc>
      </w:tr>
      <w:tr w:rsidR="00D16829" w:rsidRPr="00F17E37" w:rsidTr="00DF727C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1.518,060,05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35.512,07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117.074,92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1.436.497,20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F024DC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</w:t>
            </w:r>
            <w:r w:rsidR="00B61E32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</w:t>
            </w:r>
          </w:p>
        </w:tc>
      </w:tr>
      <w:tr w:rsidR="00D16829" w:rsidRPr="00F17E37" w:rsidTr="00DF727C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14.507.266,97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4.141,05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1.437.146,12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13.074.261,90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B61E32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44,55</w:t>
            </w:r>
          </w:p>
        </w:tc>
      </w:tr>
      <w:tr w:rsidR="00D16829" w:rsidRPr="00F17E37" w:rsidTr="00DF727C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366,561,52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42.688,15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379.249,67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F024DC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1,2</w:t>
            </w:r>
            <w:r w:rsidR="00B61E32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D16829" w:rsidRPr="00F17E37" w:rsidTr="00DF727C">
        <w:trPr>
          <w:trHeight w:val="2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Avans za opremu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3.022,75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3.022,75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104" w:rsidRPr="00F17E37" w:rsidRDefault="00F024DC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D16829" w:rsidRPr="00F17E37" w:rsidTr="00DF727C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5521B" w:rsidP="00DF727C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28.321.720,06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1682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2.589.480,18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61E32" w:rsidP="00DF727C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1.563.483,79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0C62EA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29.347.716,45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F024DC" w:rsidP="00DF727C">
            <w:pPr>
              <w:spacing w:after="0" w:line="240" w:lineRule="auto"/>
              <w:ind w:right="-25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31"/>
    <w:p w:rsidR="00776104" w:rsidRPr="00F17E37" w:rsidRDefault="003830FD" w:rsidP="00F2781C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 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U navedenoj strukturi stalnih sredstava najveću stavku zauzimaju investicione nekretnine </w:t>
      </w:r>
      <w:r w:rsidR="00F64323" w:rsidRPr="00F17E37">
        <w:rPr>
          <w:rFonts w:asciiTheme="majorHAnsi" w:hAnsiTheme="majorHAnsi"/>
          <w:bCs/>
        </w:rPr>
        <w:t>44,55</w:t>
      </w:r>
      <w:r w:rsidR="00776104" w:rsidRPr="00F17E37">
        <w:rPr>
          <w:rFonts w:asciiTheme="majorHAnsi" w:hAnsiTheme="majorHAnsi"/>
          <w:bCs/>
        </w:rPr>
        <w:t xml:space="preserve">%i građevinski objekti </w:t>
      </w:r>
      <w:r w:rsidR="00F64323" w:rsidRPr="00F17E37">
        <w:rPr>
          <w:rFonts w:asciiTheme="majorHAnsi" w:hAnsiTheme="majorHAnsi"/>
          <w:bCs/>
        </w:rPr>
        <w:t>32,84</w:t>
      </w:r>
      <w:r w:rsidR="00776104" w:rsidRPr="00F17E37">
        <w:rPr>
          <w:rFonts w:asciiTheme="majorHAnsi" w:hAnsiTheme="majorHAnsi"/>
          <w:bCs/>
        </w:rPr>
        <w:t xml:space="preserve">% dok se na ostalo odnosi </w:t>
      </w:r>
      <w:r w:rsidR="008928DD" w:rsidRPr="00F17E37">
        <w:rPr>
          <w:rFonts w:asciiTheme="majorHAnsi" w:hAnsiTheme="majorHAnsi"/>
          <w:bCs/>
        </w:rPr>
        <w:t>22,61</w:t>
      </w:r>
      <w:r w:rsidR="00776104" w:rsidRPr="00F17E37">
        <w:rPr>
          <w:rFonts w:asciiTheme="majorHAnsi" w:hAnsiTheme="majorHAnsi"/>
          <w:bCs/>
        </w:rPr>
        <w:t>%.</w:t>
      </w:r>
    </w:p>
    <w:p w:rsidR="00776104" w:rsidRPr="00F17E37" w:rsidRDefault="00E02D9F" w:rsidP="00F2781C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U</w:t>
      </w:r>
      <w:r w:rsidR="00F7508A" w:rsidRPr="00F17E37">
        <w:rPr>
          <w:rFonts w:asciiTheme="majorHAnsi" w:hAnsiTheme="majorHAnsi"/>
          <w:bCs/>
        </w:rPr>
        <w:t xml:space="preserve"> predhodnoj tabeli su navedena nematerijalna</w:t>
      </w:r>
      <w:r w:rsidR="00F024DC" w:rsidRPr="00F17E37">
        <w:rPr>
          <w:rFonts w:asciiTheme="majorHAnsi" w:hAnsiTheme="majorHAnsi"/>
          <w:bCs/>
        </w:rPr>
        <w:t xml:space="preserve"> ulaganja </w:t>
      </w:r>
      <w:r w:rsidR="00F7508A" w:rsidRPr="00F17E37">
        <w:rPr>
          <w:rFonts w:asciiTheme="majorHAnsi" w:hAnsiTheme="majorHAnsi"/>
          <w:bCs/>
        </w:rPr>
        <w:t xml:space="preserve"> a koja se </w:t>
      </w:r>
      <w:r w:rsidR="00F024DC" w:rsidRPr="00F17E37">
        <w:rPr>
          <w:rFonts w:asciiTheme="majorHAnsi" w:hAnsiTheme="majorHAnsi"/>
          <w:bCs/>
        </w:rPr>
        <w:t>u 2017</w:t>
      </w:r>
      <w:r w:rsidR="00F7508A" w:rsidRPr="00F17E37">
        <w:rPr>
          <w:rFonts w:asciiTheme="majorHAnsi" w:hAnsiTheme="majorHAnsi"/>
          <w:bCs/>
        </w:rPr>
        <w:t>.g.</w:t>
      </w:r>
      <w:r w:rsidR="00F024DC" w:rsidRPr="00F17E37">
        <w:rPr>
          <w:rFonts w:asciiTheme="majorHAnsi" w:hAnsiTheme="majorHAnsi"/>
          <w:bCs/>
        </w:rPr>
        <w:t xml:space="preserve"> </w:t>
      </w:r>
      <w:r w:rsidR="00F7508A" w:rsidRPr="00F17E37">
        <w:rPr>
          <w:rFonts w:asciiTheme="majorHAnsi" w:hAnsiTheme="majorHAnsi"/>
          <w:bCs/>
        </w:rPr>
        <w:t xml:space="preserve">odnose na ulaganja u </w:t>
      </w:r>
      <w:r w:rsidR="00F024DC" w:rsidRPr="00F17E37">
        <w:rPr>
          <w:rFonts w:asciiTheme="majorHAnsi" w:hAnsiTheme="majorHAnsi"/>
          <w:bCs/>
        </w:rPr>
        <w:t>program osiguranje u iznosu 3.744,00KM</w:t>
      </w:r>
      <w:r w:rsidR="00F7508A" w:rsidRPr="00F17E37">
        <w:rPr>
          <w:rFonts w:asciiTheme="majorHAnsi" w:hAnsiTheme="majorHAnsi"/>
          <w:bCs/>
        </w:rPr>
        <w:t>,</w:t>
      </w:r>
      <w:r w:rsidR="00F024DC" w:rsidRPr="00F17E37">
        <w:rPr>
          <w:rFonts w:asciiTheme="majorHAnsi" w:hAnsiTheme="majorHAnsi"/>
          <w:bCs/>
        </w:rPr>
        <w:t xml:space="preserve"> ulaganja za licencu računovodstvenog programa</w:t>
      </w:r>
      <w:r w:rsidR="00F2781C" w:rsidRPr="00F17E37">
        <w:rPr>
          <w:rFonts w:asciiTheme="majorHAnsi" w:hAnsiTheme="majorHAnsi"/>
          <w:bCs/>
        </w:rPr>
        <w:t>,</w:t>
      </w:r>
      <w:r w:rsidR="00F024DC" w:rsidRPr="00F17E37">
        <w:rPr>
          <w:rFonts w:asciiTheme="majorHAnsi" w:hAnsiTheme="majorHAnsi"/>
          <w:bCs/>
        </w:rPr>
        <w:t xml:space="preserve"> antivirusa </w:t>
      </w:r>
      <w:r w:rsidR="00F7508A" w:rsidRPr="00F17E37">
        <w:rPr>
          <w:rFonts w:asciiTheme="majorHAnsi" w:hAnsiTheme="majorHAnsi"/>
          <w:bCs/>
        </w:rPr>
        <w:t>i</w:t>
      </w:r>
      <w:r w:rsidR="00F024DC" w:rsidRPr="00F17E37">
        <w:rPr>
          <w:rFonts w:asciiTheme="majorHAnsi" w:hAnsiTheme="majorHAnsi"/>
          <w:bCs/>
        </w:rPr>
        <w:t xml:space="preserve"> za domen u iznosu od 3.394,91 KM.</w:t>
      </w:r>
      <w:r w:rsidR="00AD557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Nematerijalna ulaganja su prvobitno i naknadno vrednovana po nabavnoj vrijednosti.</w:t>
      </w:r>
    </w:p>
    <w:p w:rsidR="00776104" w:rsidRPr="00F17E37" w:rsidRDefault="00E02D9F" w:rsidP="00F2781C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DB49DE" w:rsidRPr="00F17E37">
        <w:rPr>
          <w:rFonts w:asciiTheme="majorHAnsi" w:hAnsiTheme="majorHAnsi"/>
          <w:bCs/>
        </w:rPr>
        <w:t xml:space="preserve">Na drugoj </w:t>
      </w:r>
      <w:r w:rsidR="00F422D8" w:rsidRPr="00F17E37">
        <w:rPr>
          <w:rFonts w:asciiTheme="majorHAnsi" w:hAnsiTheme="majorHAnsi"/>
          <w:bCs/>
        </w:rPr>
        <w:t>stavci</w:t>
      </w:r>
      <w:r w:rsidR="00DB49DE" w:rsidRPr="00F17E37">
        <w:rPr>
          <w:rFonts w:asciiTheme="majorHAnsi" w:hAnsiTheme="majorHAnsi"/>
          <w:bCs/>
        </w:rPr>
        <w:t>,</w:t>
      </w:r>
      <w:r w:rsidR="00F422D8" w:rsidRPr="00F17E37">
        <w:rPr>
          <w:rFonts w:asciiTheme="majorHAnsi" w:hAnsiTheme="majorHAnsi"/>
          <w:bCs/>
        </w:rPr>
        <w:t xml:space="preserve"> navedene tabele</w:t>
      </w:r>
      <w:r w:rsidR="00DB49DE" w:rsidRPr="00F17E37">
        <w:rPr>
          <w:rFonts w:asciiTheme="majorHAnsi" w:hAnsiTheme="majorHAnsi"/>
          <w:bCs/>
        </w:rPr>
        <w:t>,</w:t>
      </w:r>
      <w:r w:rsidR="00F422D8" w:rsidRPr="00F17E37">
        <w:rPr>
          <w:rFonts w:asciiTheme="majorHAnsi" w:hAnsiTheme="majorHAnsi"/>
          <w:bCs/>
        </w:rPr>
        <w:t xml:space="preserve"> je prikazana vrijednost </w:t>
      </w:r>
      <w:r w:rsidR="00776104" w:rsidRPr="00F17E37">
        <w:rPr>
          <w:rFonts w:asciiTheme="majorHAnsi" w:hAnsiTheme="majorHAnsi"/>
          <w:bCs/>
        </w:rPr>
        <w:t xml:space="preserve"> zemlje </w:t>
      </w:r>
      <w:r w:rsidR="00F422D8" w:rsidRPr="00F17E37">
        <w:rPr>
          <w:rFonts w:asciiTheme="majorHAnsi" w:hAnsiTheme="majorHAnsi"/>
          <w:bCs/>
        </w:rPr>
        <w:t xml:space="preserve">koja je povećana po </w:t>
      </w:r>
      <w:r w:rsidR="00776104" w:rsidRPr="00F17E37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>osnovu k</w:t>
      </w:r>
      <w:r w:rsidR="00E51992" w:rsidRPr="00F17E37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>upovine u B</w:t>
      </w:r>
      <w:r w:rsidR="009767AA" w:rsidRPr="00F17E37">
        <w:rPr>
          <w:rFonts w:asciiTheme="majorHAnsi" w:hAnsiTheme="majorHAnsi"/>
          <w:bCs/>
        </w:rPr>
        <w:t>a</w:t>
      </w:r>
      <w:r w:rsidR="00F422D8" w:rsidRPr="00F17E37">
        <w:rPr>
          <w:rFonts w:asciiTheme="majorHAnsi" w:hAnsiTheme="majorHAnsi"/>
          <w:bCs/>
        </w:rPr>
        <w:t>nja Luci u iznosu od 2.500.000KM.</w:t>
      </w:r>
    </w:p>
    <w:p w:rsidR="00776104" w:rsidRPr="00F17E37" w:rsidRDefault="00E02D9F" w:rsidP="00F2781C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je smanjena </w:t>
      </w:r>
      <w:r w:rsidR="00435227" w:rsidRPr="00F17E37">
        <w:rPr>
          <w:rFonts w:asciiTheme="majorHAnsi" w:hAnsiTheme="majorHAnsi"/>
          <w:bCs/>
        </w:rPr>
        <w:t>u iznosu od 6.240 KM</w:t>
      </w:r>
      <w:r w:rsidR="00F422D8" w:rsidRPr="00F17E37">
        <w:rPr>
          <w:rFonts w:asciiTheme="majorHAnsi" w:hAnsiTheme="majorHAnsi"/>
          <w:bCs/>
        </w:rPr>
        <w:t xml:space="preserve"> po osnovu isknjižavanja </w:t>
      </w:r>
      <w:r w:rsidR="00FB0009" w:rsidRPr="00F17E37">
        <w:rPr>
          <w:rFonts w:asciiTheme="majorHAnsi" w:hAnsiTheme="majorHAnsi"/>
          <w:bCs/>
        </w:rPr>
        <w:t>d</w:t>
      </w:r>
      <w:r w:rsidR="00E51992" w:rsidRPr="00F17E37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>jela</w:t>
      </w:r>
      <w:r w:rsidR="00A56C87" w:rsidRPr="00F17E37">
        <w:rPr>
          <w:rFonts w:asciiTheme="majorHAnsi" w:hAnsiTheme="majorHAnsi"/>
          <w:bCs/>
        </w:rPr>
        <w:t xml:space="preserve"> zajedničkog </w:t>
      </w:r>
      <w:r w:rsidR="00FB0009" w:rsidRPr="00F17E37">
        <w:rPr>
          <w:rFonts w:asciiTheme="majorHAnsi" w:hAnsiTheme="majorHAnsi"/>
          <w:bCs/>
        </w:rPr>
        <w:t xml:space="preserve"> objekta u Birou Zelene karte, po osnovu udjela novih osiguravajućih kća.</w:t>
      </w:r>
    </w:p>
    <w:p w:rsidR="00776104" w:rsidRPr="00F17E37" w:rsidRDefault="00E02D9F" w:rsidP="00F2781C">
      <w:pPr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4.</w:t>
      </w:r>
      <w:r w:rsidR="00FB12D3" w:rsidRPr="00F17E37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>Na stavci</w:t>
      </w:r>
      <w:r w:rsidR="00DB49DE" w:rsidRPr="00F17E37">
        <w:rPr>
          <w:rFonts w:asciiTheme="majorHAnsi" w:hAnsiTheme="majorHAnsi"/>
          <w:bCs/>
        </w:rPr>
        <w:t xml:space="preserve"> četvrtoj,</w:t>
      </w:r>
      <w:r w:rsidR="00FB0009" w:rsidRPr="00F17E37">
        <w:rPr>
          <w:rFonts w:asciiTheme="majorHAnsi" w:hAnsiTheme="majorHAnsi"/>
          <w:bCs/>
        </w:rPr>
        <w:t>navedene tabele</w:t>
      </w:r>
      <w:r w:rsidR="00DB49DE" w:rsidRPr="00F17E37">
        <w:rPr>
          <w:rFonts w:asciiTheme="majorHAnsi" w:hAnsiTheme="majorHAnsi"/>
          <w:bCs/>
        </w:rPr>
        <w:t>,</w:t>
      </w:r>
      <w:r w:rsidR="00FB0009" w:rsidRPr="00F17E37">
        <w:rPr>
          <w:rFonts w:asciiTheme="majorHAnsi" w:hAnsiTheme="majorHAnsi"/>
          <w:bCs/>
        </w:rPr>
        <w:t xml:space="preserve"> je navedena oprema a koja je uvećana za nove nabavke 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 u iznosu od 30.462,07 KM i kupovin</w:t>
      </w:r>
      <w:r w:rsidR="00DB49DE" w:rsidRPr="00F17E37">
        <w:rPr>
          <w:rFonts w:asciiTheme="majorHAnsi" w:hAnsiTheme="majorHAnsi"/>
          <w:bCs/>
        </w:rPr>
        <w:t>om</w:t>
      </w:r>
      <w:r w:rsidR="00FB0009" w:rsidRPr="00F17E37">
        <w:rPr>
          <w:rFonts w:asciiTheme="majorHAnsi" w:hAnsiTheme="majorHAnsi"/>
          <w:bCs/>
        </w:rPr>
        <w:t xml:space="preserve"> polovnog auta u iznosu od 5.050 KM.</w:t>
      </w:r>
    </w:p>
    <w:p w:rsidR="00895011" w:rsidRPr="00F17E37" w:rsidRDefault="00DA06FA" w:rsidP="00F2781C">
      <w:pPr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Stanje opreme je smanjeno po osnovu isknjižavanja</w:t>
      </w:r>
      <w:r w:rsidR="005735FA" w:rsidRPr="00F17E37">
        <w:rPr>
          <w:rFonts w:asciiTheme="majorHAnsi" w:hAnsiTheme="majorHAnsi"/>
          <w:bCs/>
        </w:rPr>
        <w:t>:</w:t>
      </w:r>
      <w:r w:rsidRPr="00F17E37">
        <w:rPr>
          <w:rFonts w:asciiTheme="majorHAnsi" w:hAnsiTheme="majorHAnsi"/>
          <w:bCs/>
        </w:rPr>
        <w:t xml:space="preserve"> rashodovane opreme u iznosu od </w:t>
      </w:r>
      <w:r w:rsidR="00895011" w:rsidRPr="00F17E37">
        <w:rPr>
          <w:rFonts w:asciiTheme="majorHAnsi" w:hAnsiTheme="majorHAnsi"/>
          <w:bCs/>
        </w:rPr>
        <w:t>110.003,59 KM,rashodo</w:t>
      </w:r>
      <w:r w:rsidR="005735FA" w:rsidRPr="00F17E37">
        <w:rPr>
          <w:rFonts w:asciiTheme="majorHAnsi" w:hAnsiTheme="majorHAnsi"/>
          <w:bCs/>
        </w:rPr>
        <w:t>vanog</w:t>
      </w:r>
      <w:r w:rsidR="00895011" w:rsidRPr="00F17E37">
        <w:rPr>
          <w:rFonts w:asciiTheme="majorHAnsi" w:hAnsiTheme="majorHAnsi"/>
          <w:bCs/>
        </w:rPr>
        <w:t xml:space="preserve"> polovnog auta u iznosu 3</w:t>
      </w:r>
      <w:r w:rsidR="005735FA" w:rsidRPr="00F17E37">
        <w:rPr>
          <w:rFonts w:asciiTheme="majorHAnsi" w:hAnsiTheme="majorHAnsi"/>
          <w:bCs/>
        </w:rPr>
        <w:t>.</w:t>
      </w:r>
      <w:r w:rsidR="00895011" w:rsidRPr="00F17E37">
        <w:rPr>
          <w:rFonts w:asciiTheme="majorHAnsi" w:hAnsiTheme="majorHAnsi"/>
          <w:bCs/>
        </w:rPr>
        <w:t xml:space="preserve">500 KM i prodajom defiskalizovanih kasa u iznosu od 3.571,33 KM,što ukupno iznosi </w:t>
      </w:r>
      <w:r w:rsidR="005735FA" w:rsidRPr="00F17E37">
        <w:rPr>
          <w:rFonts w:asciiTheme="majorHAnsi" w:hAnsiTheme="majorHAnsi"/>
          <w:bCs/>
        </w:rPr>
        <w:t>117.074,92KM.</w:t>
      </w:r>
    </w:p>
    <w:p w:rsidR="00776104" w:rsidRPr="00F17E37" w:rsidRDefault="00E02D9F" w:rsidP="00F2781C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5.</w:t>
      </w:r>
      <w:r w:rsidR="00776104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I</w:t>
      </w:r>
      <w:r w:rsidR="00A01E0F" w:rsidRPr="00F17E37">
        <w:rPr>
          <w:rFonts w:asciiTheme="majorHAnsi" w:hAnsiTheme="majorHAnsi"/>
          <w:bCs/>
        </w:rPr>
        <w:t>nvesticion</w:t>
      </w:r>
      <w:r w:rsidR="00F2781C" w:rsidRPr="00F17E37">
        <w:rPr>
          <w:rFonts w:asciiTheme="majorHAnsi" w:hAnsiTheme="majorHAnsi"/>
          <w:bCs/>
        </w:rPr>
        <w:t>e</w:t>
      </w:r>
      <w:r w:rsidR="00A01E0F" w:rsidRPr="00F17E37">
        <w:rPr>
          <w:rFonts w:asciiTheme="majorHAnsi" w:hAnsiTheme="majorHAnsi"/>
          <w:bCs/>
        </w:rPr>
        <w:t xml:space="preserve"> nekretnina  su povećale vrijednost po osnovu ulaganja u nekretni</w:t>
      </w:r>
      <w:r w:rsidR="00433FF9" w:rsidRPr="00F17E37">
        <w:rPr>
          <w:rFonts w:asciiTheme="majorHAnsi" w:hAnsiTheme="majorHAnsi"/>
          <w:bCs/>
        </w:rPr>
        <w:t>n</w:t>
      </w:r>
      <w:r w:rsidR="00A01E0F" w:rsidRPr="00F17E37">
        <w:rPr>
          <w:rFonts w:asciiTheme="majorHAnsi" w:hAnsiTheme="majorHAnsi"/>
          <w:bCs/>
        </w:rPr>
        <w:t>u Banja Luka u iznosu 2.093,55 i Bijeljinu 2.047,</w:t>
      </w:r>
      <w:r w:rsidR="00DB49DE" w:rsidRPr="00F17E37">
        <w:rPr>
          <w:rFonts w:asciiTheme="majorHAnsi" w:hAnsiTheme="majorHAnsi"/>
          <w:bCs/>
        </w:rPr>
        <w:t>50</w:t>
      </w:r>
      <w:r w:rsidR="00A01E0F" w:rsidRPr="00F17E37">
        <w:rPr>
          <w:rFonts w:asciiTheme="majorHAnsi" w:hAnsiTheme="majorHAnsi"/>
          <w:bCs/>
        </w:rPr>
        <w:t>KM</w:t>
      </w:r>
      <w:r w:rsidR="00DB49DE" w:rsidRPr="00F17E37">
        <w:rPr>
          <w:rFonts w:asciiTheme="majorHAnsi" w:hAnsiTheme="majorHAnsi"/>
          <w:bCs/>
        </w:rPr>
        <w:t xml:space="preserve">.Na zahtjev društva ovlašteni procjenjivač je izvršio procjenu investicionih nekretnina tako da je knjiženo smanjenje </w:t>
      </w:r>
      <w:r w:rsidR="001A649B" w:rsidRPr="00F17E37">
        <w:rPr>
          <w:rFonts w:asciiTheme="majorHAnsi" w:hAnsiTheme="majorHAnsi"/>
          <w:bCs/>
        </w:rPr>
        <w:t xml:space="preserve"> vrijednosti </w:t>
      </w:r>
      <w:r w:rsidR="00DB49DE" w:rsidRPr="00F17E37">
        <w:rPr>
          <w:rFonts w:asciiTheme="majorHAnsi" w:hAnsiTheme="majorHAnsi"/>
          <w:bCs/>
        </w:rPr>
        <w:t>istih u iznosu od 1.437.146,12 KM.</w:t>
      </w:r>
    </w:p>
    <w:p w:rsidR="00776104" w:rsidRPr="00F17E37" w:rsidRDefault="00E02D9F" w:rsidP="00F2781C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A56C87" w:rsidRPr="00F17E37">
        <w:rPr>
          <w:rFonts w:asciiTheme="majorHAnsi" w:hAnsiTheme="majorHAnsi"/>
          <w:bCs/>
        </w:rPr>
        <w:t>6.</w:t>
      </w:r>
      <w:r w:rsidR="00776104" w:rsidRPr="00F17E37">
        <w:rPr>
          <w:rFonts w:asciiTheme="majorHAnsi" w:hAnsiTheme="majorHAnsi"/>
          <w:bCs/>
        </w:rPr>
        <w:t xml:space="preserve">Stalna sredstva u pripremi  </w:t>
      </w:r>
      <w:r w:rsidR="00F2781C" w:rsidRPr="00F17E37">
        <w:rPr>
          <w:rFonts w:asciiTheme="majorHAnsi" w:hAnsiTheme="majorHAnsi"/>
          <w:bCs/>
        </w:rPr>
        <w:t xml:space="preserve">su povećala vrijednost po osnovu novog </w:t>
      </w:r>
      <w:r w:rsidR="00433FF9" w:rsidRPr="00F17E37">
        <w:rPr>
          <w:rFonts w:asciiTheme="majorHAnsi" w:hAnsiTheme="majorHAnsi"/>
          <w:bCs/>
        </w:rPr>
        <w:t xml:space="preserve"> ulaganj</w:t>
      </w:r>
      <w:r w:rsidR="00F2781C" w:rsidRPr="00F17E37">
        <w:rPr>
          <w:rFonts w:asciiTheme="majorHAnsi" w:hAnsiTheme="majorHAnsi"/>
          <w:bCs/>
        </w:rPr>
        <w:t>a</w:t>
      </w:r>
      <w:r w:rsidR="00433FF9" w:rsidRPr="00F17E37">
        <w:rPr>
          <w:rFonts w:asciiTheme="majorHAnsi" w:hAnsiTheme="majorHAnsi"/>
          <w:bCs/>
        </w:rPr>
        <w:t xml:space="preserve"> u </w:t>
      </w:r>
      <w:r w:rsidR="0078591A" w:rsidRPr="00F17E37">
        <w:rPr>
          <w:rFonts w:asciiTheme="majorHAnsi" w:hAnsiTheme="majorHAnsi"/>
          <w:bCs/>
        </w:rPr>
        <w:t>objekat ,</w:t>
      </w:r>
      <w:r w:rsidR="00433FF9" w:rsidRPr="00F17E37">
        <w:rPr>
          <w:rFonts w:asciiTheme="majorHAnsi" w:hAnsiTheme="majorHAnsi"/>
          <w:bCs/>
        </w:rPr>
        <w:t>Banja Luk</w:t>
      </w:r>
      <w:r w:rsidR="0078591A" w:rsidRPr="00F17E37">
        <w:rPr>
          <w:rFonts w:asciiTheme="majorHAnsi" w:hAnsiTheme="majorHAnsi"/>
          <w:bCs/>
        </w:rPr>
        <w:t>a</w:t>
      </w:r>
      <w:r w:rsidR="00433FF9" w:rsidRPr="00F17E37">
        <w:rPr>
          <w:rFonts w:asciiTheme="majorHAnsi" w:hAnsiTheme="majorHAnsi"/>
          <w:bCs/>
        </w:rPr>
        <w:t xml:space="preserve"> Starčevica 33.268,35KM,Banja Luka Derviši 7.618,00KM i Prnjavor 1.801,80 KM.</w:t>
      </w:r>
    </w:p>
    <w:p w:rsidR="00C005F9" w:rsidRPr="00F17E37" w:rsidRDefault="00776104" w:rsidP="00AE1E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Nova ulaganje u objekte i nekretnine se vrši</w:t>
      </w:r>
      <w:r w:rsidR="002D4D18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uključujući u vrijednost </w:t>
      </w:r>
      <w:r w:rsidR="002D4D18" w:rsidRPr="00F17E37">
        <w:rPr>
          <w:rFonts w:asciiTheme="majorHAnsi" w:hAnsiTheme="majorHAnsi"/>
          <w:bCs/>
        </w:rPr>
        <w:t xml:space="preserve">postojećih </w:t>
      </w:r>
      <w:r w:rsidRPr="00F17E37">
        <w:rPr>
          <w:rFonts w:asciiTheme="majorHAnsi" w:hAnsiTheme="majorHAnsi"/>
          <w:bCs/>
        </w:rPr>
        <w:t>sredstva ,budući da se očekuje da će po osnovu njih u budućnosti priticati u Društvu ekonomske koristi koje su veće od dosadašnjih</w:t>
      </w:r>
      <w:r w:rsidR="00C9358F" w:rsidRPr="00F17E37">
        <w:rPr>
          <w:rFonts w:asciiTheme="majorHAnsi" w:hAnsiTheme="majorHAnsi"/>
          <w:bCs/>
        </w:rPr>
        <w:t>.</w:t>
      </w:r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565"/>
        <w:gridCol w:w="2293"/>
        <w:gridCol w:w="265"/>
        <w:gridCol w:w="1548"/>
        <w:gridCol w:w="1184"/>
        <w:gridCol w:w="1200"/>
        <w:gridCol w:w="353"/>
        <w:gridCol w:w="2120"/>
      </w:tblGrid>
      <w:tr w:rsidR="00DF727C" w:rsidRPr="00F17E37" w:rsidTr="00DF727C">
        <w:trPr>
          <w:trHeight w:val="300"/>
        </w:trPr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6D75F0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776104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727C" w:rsidRPr="00F17E37" w:rsidRDefault="00DF727C" w:rsidP="00776104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776104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:rsidTr="00DF727C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01.01.17.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31.12.17.g.</w:t>
            </w:r>
          </w:p>
        </w:tc>
      </w:tr>
      <w:tr w:rsidR="00DF727C" w:rsidRPr="00F17E37" w:rsidTr="00DF727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141.819,24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4.742,94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146.562,18</w:t>
            </w:r>
          </w:p>
        </w:tc>
      </w:tr>
      <w:tr w:rsidR="00DF727C" w:rsidRPr="00F17E37" w:rsidTr="00DF727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2.760.853,43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313.789,91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3.074.643,34</w:t>
            </w:r>
          </w:p>
        </w:tc>
      </w:tr>
      <w:tr w:rsidR="00DF727C" w:rsidRPr="00F17E37" w:rsidTr="00DF727C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1.265.920,53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65.423,64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87.161,01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1.244.183,16</w:t>
            </w:r>
          </w:p>
        </w:tc>
      </w:tr>
      <w:tr w:rsidR="00DF727C" w:rsidRPr="00F17E37" w:rsidTr="00DF727C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4.168.593,20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383.956,49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87.161,01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27C" w:rsidRPr="00F17E37" w:rsidRDefault="00DF727C" w:rsidP="00DF727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4.465.388,68</w:t>
            </w:r>
          </w:p>
        </w:tc>
      </w:tr>
    </w:tbl>
    <w:p w:rsidR="00AE1E89" w:rsidRPr="00F17E37" w:rsidRDefault="00F3711A" w:rsidP="00E02D9F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</w:p>
    <w:p w:rsidR="00776104" w:rsidRPr="00F17E37" w:rsidRDefault="00AE1E89" w:rsidP="00E02D9F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1.Nematerijalna ulaganja, definisana MRS 38,se u skladu sa MRS 16 iskazuju po nabavnoj vrijednosti umanjena za akumulisanu amortizaciju. Obračunati iznos amortizacije u 201</w:t>
      </w:r>
      <w:r w:rsidR="00B505A8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 xml:space="preserve">.g.za nematerijalna ulaganja  zavisno od datuma nabavke iznosi </w:t>
      </w:r>
      <w:r w:rsidR="00B505A8" w:rsidRPr="00F17E37">
        <w:rPr>
          <w:rFonts w:asciiTheme="majorHAnsi" w:hAnsiTheme="majorHAnsi"/>
          <w:bCs/>
        </w:rPr>
        <w:t>4.742,94</w:t>
      </w:r>
      <w:r w:rsidR="00776104" w:rsidRPr="00F17E37">
        <w:rPr>
          <w:rFonts w:asciiTheme="majorHAnsi" w:hAnsiTheme="majorHAnsi"/>
          <w:bCs/>
        </w:rPr>
        <w:t>KM.Primjenjuje se linearni metod otpisivanja po stopi od 20%.</w:t>
      </w:r>
    </w:p>
    <w:p w:rsidR="00776104" w:rsidRPr="00F17E37" w:rsidRDefault="00776104" w:rsidP="00E51992">
      <w:pPr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2.Građevinski objekti se u skladu sa MRS 16 vode po revalorizovanoj vrijednosti, umanjenoj za akumulisanu amortizaciju.Obračun amortizacije se vrši linearnom metodom po stopama od 2.23-6,67%,a koja za 201</w:t>
      </w:r>
      <w:r w:rsidR="0014449B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.g.iznosi 313.</w:t>
      </w:r>
      <w:r w:rsidR="0014449B" w:rsidRPr="00F17E37">
        <w:rPr>
          <w:rFonts w:asciiTheme="majorHAnsi" w:hAnsiTheme="majorHAnsi"/>
          <w:bCs/>
        </w:rPr>
        <w:t>789,91</w:t>
      </w:r>
      <w:r w:rsidRPr="00F17E37">
        <w:rPr>
          <w:rFonts w:asciiTheme="majorHAnsi" w:hAnsiTheme="majorHAnsi"/>
          <w:bCs/>
        </w:rPr>
        <w:t xml:space="preserve"> KM.</w:t>
      </w:r>
      <w:r w:rsidR="00BD2E06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</w:t>
      </w: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 </w:t>
      </w:r>
      <w:r w:rsidRPr="00F17E37">
        <w:rPr>
          <w:rFonts w:asciiTheme="majorHAnsi" w:hAnsiTheme="majorHAnsi"/>
          <w:bCs/>
        </w:rPr>
        <w:t>Po osnovu</w:t>
      </w:r>
      <w:r w:rsidR="009032F5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revalorizacije</w:t>
      </w:r>
      <w:r w:rsidR="009032F5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Pr="00F17E37">
        <w:rPr>
          <w:rFonts w:asciiTheme="majorHAnsi" w:hAnsiTheme="majorHAnsi"/>
          <w:bCs/>
        </w:rPr>
        <w:t>i i revalorizovanoj vrijednosti , u korist neraspoređene dobiti tekuće godine.</w:t>
      </w:r>
    </w:p>
    <w:p w:rsidR="00776104" w:rsidRPr="00F17E37" w:rsidRDefault="00BD2E06" w:rsidP="00E02D9F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3.Oprema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stopama iz Nomeklature Pravilnika o porezu na dobit i kreće se od 11-25%.Obračunati iznos amortizacije za 201</w:t>
      </w:r>
      <w:r w:rsidR="00D40311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D40311" w:rsidRPr="00F17E37">
        <w:rPr>
          <w:rFonts w:asciiTheme="majorHAnsi" w:hAnsiTheme="majorHAnsi"/>
          <w:bCs/>
        </w:rPr>
        <w:t>65.423,64KM</w:t>
      </w:r>
      <w:r w:rsidR="00776104" w:rsidRPr="00F17E37">
        <w:rPr>
          <w:rFonts w:asciiTheme="majorHAnsi" w:hAnsiTheme="majorHAnsi"/>
          <w:bCs/>
        </w:rPr>
        <w:t xml:space="preserve">.    Ispravka vijednosti za opremu je smanjena u iznosu od </w:t>
      </w:r>
      <w:r w:rsidR="00047FAB" w:rsidRPr="00F17E37">
        <w:rPr>
          <w:rFonts w:asciiTheme="majorHAnsi" w:hAnsiTheme="majorHAnsi"/>
          <w:bCs/>
        </w:rPr>
        <w:t>87.161,01</w:t>
      </w:r>
      <w:r w:rsidR="00776104" w:rsidRPr="00F17E37">
        <w:rPr>
          <w:rFonts w:asciiTheme="majorHAnsi" w:hAnsiTheme="majorHAnsi"/>
          <w:bCs/>
        </w:rPr>
        <w:t xml:space="preserve"> KM po osnovu</w:t>
      </w:r>
      <w:r w:rsidR="00F35DF8" w:rsidRPr="00F17E37">
        <w:rPr>
          <w:rFonts w:asciiTheme="majorHAnsi" w:hAnsiTheme="majorHAnsi"/>
          <w:bCs/>
        </w:rPr>
        <w:t>:</w:t>
      </w:r>
      <w:r w:rsidR="00776104" w:rsidRPr="00F17E37">
        <w:rPr>
          <w:rFonts w:asciiTheme="majorHAnsi" w:hAnsiTheme="majorHAnsi"/>
          <w:bCs/>
        </w:rPr>
        <w:t xml:space="preserve"> isknjižavanja rashodovane opreme</w:t>
      </w:r>
      <w:r w:rsidR="00047FAB" w:rsidRPr="00F17E37">
        <w:rPr>
          <w:rFonts w:asciiTheme="majorHAnsi" w:hAnsiTheme="majorHAnsi"/>
          <w:bCs/>
        </w:rPr>
        <w:t xml:space="preserve"> u iznosu od 83.047,18</w:t>
      </w:r>
      <w:r w:rsidR="00F35DF8" w:rsidRPr="00F17E37">
        <w:rPr>
          <w:rFonts w:asciiTheme="majorHAnsi" w:hAnsiTheme="majorHAnsi"/>
          <w:bCs/>
        </w:rPr>
        <w:t>KM</w:t>
      </w:r>
      <w:r w:rsidR="00047FAB" w:rsidRPr="00F17E37">
        <w:rPr>
          <w:rFonts w:asciiTheme="majorHAnsi" w:hAnsiTheme="majorHAnsi"/>
          <w:bCs/>
        </w:rPr>
        <w:t xml:space="preserve"> ,polovnog auta 542,50KM i prodajom</w:t>
      </w:r>
      <w:r w:rsidR="00F35DF8" w:rsidRPr="00F17E37">
        <w:rPr>
          <w:rFonts w:asciiTheme="majorHAnsi" w:hAnsiTheme="majorHAnsi"/>
          <w:bCs/>
        </w:rPr>
        <w:t xml:space="preserve"> defiskalizovanih</w:t>
      </w:r>
      <w:r w:rsidR="00047FAB" w:rsidRPr="00F17E37">
        <w:rPr>
          <w:rFonts w:asciiTheme="majorHAnsi" w:hAnsiTheme="majorHAnsi"/>
          <w:bCs/>
        </w:rPr>
        <w:t xml:space="preserve"> kasa u iznosu od 3.571,33 KM.</w:t>
      </w:r>
    </w:p>
    <w:p w:rsidR="00E617D2" w:rsidRPr="00F17E37" w:rsidRDefault="00776104" w:rsidP="00591E04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</w:t>
      </w:r>
      <w:r w:rsidR="00BD2E06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BD2E06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4.Investicione nekretnine se ne amortizuju već se za procjenjivanje koristi MRS 40</w:t>
      </w:r>
      <w:r w:rsidR="004462AD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koji preporučuje da se investicione nekretnine vode po fer vrijednosti.Efekti promjena fer vrijednosti na više ili niže se knjiže preko bilansa uspjeha.</w:t>
      </w:r>
      <w:r w:rsidR="00E617D2" w:rsidRPr="00F17E37">
        <w:rPr>
          <w:rFonts w:asciiTheme="majorHAnsi" w:hAnsiTheme="majorHAnsi"/>
          <w:bCs/>
        </w:rPr>
        <w:t>Za 2017.g.je izvršeno procjenjivanje investicionih nekretnina od strane ovlaštenog procjenjivača.</w:t>
      </w: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9120"/>
      </w:tblGrid>
      <w:tr w:rsidR="00776104" w:rsidRPr="00F17E37" w:rsidTr="00776104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591E04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color w:val="000000"/>
                <w:u w:val="single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u w:val="single"/>
              </w:rPr>
              <w:t>NOTA 2(AOP 19)</w:t>
            </w:r>
          </w:p>
          <w:p w:rsidR="00BD2E06" w:rsidRPr="00F17E37" w:rsidRDefault="00BD2E06" w:rsidP="00591E04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color w:val="000000"/>
                <w:u w:val="single"/>
              </w:rPr>
            </w:pPr>
          </w:p>
          <w:p w:rsidR="003E5D4F" w:rsidRPr="00F17E37" w:rsidRDefault="00776104" w:rsidP="00591E04">
            <w:pPr>
              <w:pStyle w:val="Heading2"/>
              <w:spacing w:before="0" w:after="0"/>
            </w:pPr>
            <w:bookmarkStart w:id="32" w:name="_Toc475624845"/>
            <w:bookmarkStart w:id="33" w:name="_Toc507483674"/>
            <w:r w:rsidRPr="00F17E37">
              <w:t>Dugoročni finansijski plasmani</w:t>
            </w:r>
            <w:bookmarkEnd w:id="32"/>
            <w:bookmarkEnd w:id="33"/>
          </w:p>
          <w:p w:rsidR="00776104" w:rsidRPr="00F17E37" w:rsidRDefault="00BD2E06" w:rsidP="00591E04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Društvo je uložilo 2006.g.u kapital povezanog pravnog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lica ,,Autocentar Nešković"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Bijeljina 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Bijeljina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iznos od 600.000KM.</w:t>
            </w:r>
          </w:p>
        </w:tc>
      </w:tr>
    </w:tbl>
    <w:p w:rsidR="000775B5" w:rsidRPr="00F17E37" w:rsidRDefault="00776104" w:rsidP="009156E4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Obzirom da je Društvo izvršilo ulaganje u navedeno pravno lice sa učešćem u kapitali sa 99,17%,vrši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:rsidR="00E02D9F" w:rsidRPr="00F17E37" w:rsidRDefault="00E02D9F" w:rsidP="00591E04">
      <w:pPr>
        <w:spacing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591E04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3(AOP 022)</w:t>
      </w:r>
    </w:p>
    <w:p w:rsidR="00776104" w:rsidRPr="00F17E37" w:rsidRDefault="00D06BDC" w:rsidP="00E51992">
      <w:pPr>
        <w:pStyle w:val="Heading2"/>
        <w:spacing w:after="0"/>
      </w:pPr>
      <w:bookmarkStart w:id="34" w:name="_Toc507483675"/>
      <w:r w:rsidRPr="00F17E37">
        <w:t>Dugoro</w:t>
      </w:r>
      <w:r w:rsidR="00776104" w:rsidRPr="00F17E37">
        <w:t>čni  finansijski plasmani u povezana pravna lica</w:t>
      </w:r>
      <w:bookmarkEnd w:id="34"/>
    </w:p>
    <w:p w:rsidR="00F31A81" w:rsidRPr="00F17E37" w:rsidRDefault="00671B3F" w:rsidP="00E02D9F">
      <w:pPr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>Povezanom pravnom licu Nešković doo Bijeljina je odobren dugoročni zajam u iznosu od 1.000.000KM  uz kamatu od 3,00%, odobren 01.02.2016.g. sa valutom 01.02.2019.g.</w:t>
      </w:r>
      <w:r w:rsidR="00F31A81" w:rsidRPr="00F17E37">
        <w:rPr>
          <w:rFonts w:asciiTheme="majorHAnsi" w:hAnsiTheme="majorHAnsi"/>
          <w:bCs/>
        </w:rPr>
        <w:t xml:space="preserve">             </w:t>
      </w:r>
      <w:r w:rsidR="004462AD" w:rsidRPr="00F17E37">
        <w:rPr>
          <w:rFonts w:asciiTheme="majorHAnsi" w:hAnsiTheme="majorHAnsi"/>
          <w:bCs/>
        </w:rPr>
        <w:t xml:space="preserve">         </w:t>
      </w:r>
      <w:r w:rsidR="00012B28" w:rsidRPr="00F17E37">
        <w:rPr>
          <w:rFonts w:asciiTheme="majorHAnsi" w:hAnsiTheme="majorHAnsi"/>
          <w:bCs/>
        </w:rPr>
        <w:t xml:space="preserve">    </w:t>
      </w:r>
      <w:r w:rsidR="004462AD" w:rsidRPr="00F17E37">
        <w:rPr>
          <w:rFonts w:asciiTheme="majorHAnsi" w:hAnsiTheme="majorHAnsi"/>
          <w:bCs/>
        </w:rPr>
        <w:t xml:space="preserve"> </w:t>
      </w:r>
      <w:r w:rsidR="00012B28" w:rsidRPr="00F17E37">
        <w:rPr>
          <w:rFonts w:asciiTheme="majorHAnsi" w:hAnsiTheme="majorHAnsi"/>
          <w:bCs/>
        </w:rPr>
        <w:t xml:space="preserve">                        Po </w:t>
      </w:r>
      <w:r w:rsidR="00776104" w:rsidRPr="00F17E37">
        <w:rPr>
          <w:rFonts w:asciiTheme="majorHAnsi" w:hAnsiTheme="majorHAnsi"/>
          <w:bCs/>
        </w:rPr>
        <w:t>navedenom zajmu</w:t>
      </w:r>
      <w:r w:rsidR="00B3424B" w:rsidRPr="00F17E37">
        <w:rPr>
          <w:rFonts w:asciiTheme="majorHAnsi" w:hAnsiTheme="majorHAnsi"/>
          <w:bCs/>
        </w:rPr>
        <w:t xml:space="preserve"> u toku godine</w:t>
      </w:r>
      <w:r w:rsidR="00320D32" w:rsidRPr="00F17E37">
        <w:rPr>
          <w:rFonts w:asciiTheme="majorHAnsi" w:hAnsiTheme="majorHAnsi"/>
          <w:bCs/>
        </w:rPr>
        <w:t xml:space="preserve"> 2017.</w:t>
      </w:r>
      <w:r w:rsidR="00776104" w:rsidRPr="00F17E37">
        <w:rPr>
          <w:rFonts w:asciiTheme="majorHAnsi" w:hAnsiTheme="majorHAnsi"/>
          <w:bCs/>
        </w:rPr>
        <w:t xml:space="preserve"> je obračunata i naplaćena kamata u iznosu od </w:t>
      </w:r>
      <w:r w:rsidR="007D3D43" w:rsidRPr="00F17E37">
        <w:rPr>
          <w:rFonts w:asciiTheme="majorHAnsi" w:hAnsiTheme="majorHAnsi"/>
          <w:bCs/>
        </w:rPr>
        <w:t>30.000KM</w:t>
      </w:r>
      <w:r w:rsidR="00776104" w:rsidRPr="00F17E37">
        <w:rPr>
          <w:rFonts w:asciiTheme="majorHAnsi" w:hAnsiTheme="majorHAnsi"/>
          <w:bCs/>
        </w:rPr>
        <w:t xml:space="preserve">.  </w:t>
      </w:r>
    </w:p>
    <w:p w:rsidR="00F31A81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4(AOP23</w:t>
      </w:r>
      <w:r w:rsidRPr="00F17E37">
        <w:rPr>
          <w:rFonts w:asciiTheme="majorHAnsi" w:hAnsiTheme="majorHAnsi"/>
          <w:b/>
          <w:bCs/>
        </w:rPr>
        <w:t>)</w:t>
      </w:r>
    </w:p>
    <w:p w:rsidR="00047C96" w:rsidRPr="00F17E37" w:rsidRDefault="00776104" w:rsidP="00E51992">
      <w:pPr>
        <w:pStyle w:val="Heading2"/>
        <w:spacing w:after="0"/>
        <w:rPr>
          <w:rStyle w:val="Heading2Char"/>
          <w:b/>
          <w:bCs/>
        </w:rPr>
      </w:pPr>
      <w:bookmarkStart w:id="35" w:name="_Toc507483676"/>
      <w:r w:rsidRPr="00F17E37">
        <w:rPr>
          <w:rStyle w:val="Heading2Char"/>
          <w:b/>
          <w:bCs/>
        </w:rPr>
        <w:t>Dugoročni finansijski plasmani u zemlji</w:t>
      </w:r>
      <w:bookmarkEnd w:id="35"/>
    </w:p>
    <w:p w:rsidR="00E02D9F" w:rsidRPr="00F17E37" w:rsidRDefault="00E02D9F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A701D1" w:rsidRPr="00F17E37">
        <w:rPr>
          <w:rFonts w:asciiTheme="majorHAnsi" w:hAnsiTheme="majorHAnsi"/>
          <w:bCs/>
        </w:rPr>
        <w:t xml:space="preserve">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i </w:t>
      </w:r>
      <w:r w:rsidR="00F31A81" w:rsidRPr="00F17E37">
        <w:rPr>
          <w:rFonts w:asciiTheme="majorHAnsi" w:hAnsiTheme="majorHAnsi"/>
          <w:bCs/>
        </w:rPr>
        <w:t>zajmove</w:t>
      </w:r>
      <w:r w:rsidR="000775B5" w:rsidRPr="00F17E37">
        <w:rPr>
          <w:rFonts w:asciiTheme="majorHAnsi" w:hAnsiTheme="majorHAnsi"/>
          <w:bCs/>
        </w:rPr>
        <w:t xml:space="preserve"> u bankama.</w:t>
      </w:r>
    </w:p>
    <w:p w:rsidR="00776104" w:rsidRPr="00F17E37" w:rsidRDefault="00E02D9F" w:rsidP="006D75F0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2008"/>
        <w:gridCol w:w="1379"/>
        <w:gridCol w:w="460"/>
        <w:gridCol w:w="1252"/>
        <w:gridCol w:w="2039"/>
        <w:gridCol w:w="1529"/>
        <w:gridCol w:w="964"/>
      </w:tblGrid>
      <w:tr w:rsidR="00776104" w:rsidRPr="00F17E37" w:rsidTr="00E02D9F">
        <w:trPr>
          <w:trHeight w:val="29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32231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1001559458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5721025590006504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2,65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Komer. banka ad 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0042002002749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Unicred. bank ad BL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21.05.2017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11001094004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Sberbank ad B.L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5671515590026876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1001571083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Intesa sanpa.dd Sar.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60218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1.564</w:t>
            </w:r>
            <w:r w:rsidR="009F74D1"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B.L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04.09.2017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5721025590005825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2,65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1001614858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Nva banka ad BN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0E6B6C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1001595977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1.642.486,27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0,50</w:t>
            </w: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Addiko banka ad B.L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D402BD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A42D93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17443348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9F74D1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977.915,00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C32231" w:rsidRDefault="00841D47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841D47" w:rsidRPr="00F17E37" w:rsidTr="00E02D9F">
        <w:trPr>
          <w:trHeight w:val="29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9F74D1" w:rsidP="00C32231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9532B3" w:rsidP="00C32231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10.049.092,87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841D47" w:rsidP="00C32231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776104" w:rsidRPr="00F17E37" w:rsidRDefault="00776104" w:rsidP="00C32231">
      <w:pPr>
        <w:tabs>
          <w:tab w:val="left" w:pos="2295"/>
        </w:tabs>
        <w:spacing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F3711A" w:rsidP="00E02D9F">
      <w:pPr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banka a koji služe za pokriće garantnog fonda i tehničkih rezervi Društva u skadu sa Pravilnikom o ulaganju sredstava društava za osiguranje. </w:t>
      </w:r>
      <w:r w:rsidR="00E312B5" w:rsidRPr="00F17E37">
        <w:rPr>
          <w:rFonts w:asciiTheme="majorHAnsi" w:hAnsiTheme="majorHAnsi"/>
          <w:bCs/>
        </w:rPr>
        <w:t>Od navedenih depozita</w:t>
      </w:r>
      <w:r w:rsidR="006E2913" w:rsidRPr="00F17E37">
        <w:rPr>
          <w:rFonts w:asciiTheme="majorHAnsi" w:hAnsiTheme="majorHAnsi"/>
          <w:bCs/>
        </w:rPr>
        <w:t>:</w:t>
      </w:r>
      <w:r w:rsidR="00E312B5" w:rsidRPr="00F17E37">
        <w:rPr>
          <w:rFonts w:asciiTheme="majorHAnsi" w:hAnsiTheme="majorHAnsi"/>
          <w:bCs/>
        </w:rPr>
        <w:t xml:space="preserve"> 2.500.000KM se koristi za pokriće garantnog fonda,6.571.177,87KM se koristi za pokriće tehničkih rezervi</w:t>
      </w:r>
      <w:r w:rsidRPr="00F17E37">
        <w:rPr>
          <w:rFonts w:asciiTheme="majorHAnsi" w:hAnsiTheme="majorHAnsi"/>
          <w:bCs/>
        </w:rPr>
        <w:t>,</w:t>
      </w:r>
      <w:r w:rsidR="00E312B5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a</w:t>
      </w:r>
      <w:r w:rsidR="00E312B5" w:rsidRPr="00F17E37">
        <w:rPr>
          <w:rFonts w:asciiTheme="majorHAnsi" w:hAnsiTheme="majorHAnsi"/>
          <w:bCs/>
        </w:rPr>
        <w:t xml:space="preserve"> 977.915 KM  je ne namjenski depo</w:t>
      </w:r>
      <w:r w:rsidRPr="00F17E37">
        <w:rPr>
          <w:rFonts w:asciiTheme="majorHAnsi" w:hAnsiTheme="majorHAnsi"/>
          <w:bCs/>
        </w:rPr>
        <w:t>z</w:t>
      </w:r>
      <w:r w:rsidR="00E312B5" w:rsidRPr="00F17E37">
        <w:rPr>
          <w:rFonts w:asciiTheme="majorHAnsi" w:hAnsiTheme="majorHAnsi"/>
          <w:bCs/>
        </w:rPr>
        <w:t xml:space="preserve">it u </w:t>
      </w:r>
      <w:r w:rsidR="009D6DB9" w:rsidRPr="00F17E37">
        <w:rPr>
          <w:rFonts w:asciiTheme="majorHAnsi" w:hAnsiTheme="majorHAnsi"/>
          <w:bCs/>
        </w:rPr>
        <w:lastRenderedPageBreak/>
        <w:t>Addico banci.</w:t>
      </w:r>
      <w:r w:rsidR="002C40DD" w:rsidRPr="00F17E37">
        <w:rPr>
          <w:rFonts w:asciiTheme="majorHAnsi" w:hAnsiTheme="majorHAnsi"/>
          <w:bCs/>
        </w:rPr>
        <w:t xml:space="preserve"> </w:t>
      </w:r>
      <w:r w:rsidR="00700894" w:rsidRPr="00F17E37">
        <w:rPr>
          <w:rFonts w:asciiTheme="majorHAnsi" w:hAnsiTheme="majorHAnsi"/>
          <w:bCs/>
        </w:rPr>
        <w:t xml:space="preserve">Ostvarene pozitivne kamate po osnovu ulaganja </w:t>
      </w:r>
      <w:r w:rsidR="006E2913" w:rsidRPr="00F17E37">
        <w:rPr>
          <w:rFonts w:asciiTheme="majorHAnsi" w:hAnsiTheme="majorHAnsi"/>
          <w:bCs/>
        </w:rPr>
        <w:t xml:space="preserve">iznose </w:t>
      </w:r>
      <w:r w:rsidR="003072C3" w:rsidRPr="00F17E37">
        <w:rPr>
          <w:rFonts w:asciiTheme="majorHAnsi" w:hAnsiTheme="majorHAnsi"/>
          <w:bCs/>
        </w:rPr>
        <w:t>71.867,49KM</w:t>
      </w:r>
      <w:r w:rsidR="00C7226F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a </w:t>
      </w:r>
      <w:r w:rsidR="00C7226F" w:rsidRPr="00F17E37">
        <w:rPr>
          <w:rFonts w:asciiTheme="majorHAnsi" w:hAnsiTheme="majorHAnsi"/>
          <w:bCs/>
        </w:rPr>
        <w:t xml:space="preserve"> od Addico banke </w:t>
      </w:r>
      <w:r w:rsidRPr="00F17E37">
        <w:rPr>
          <w:rFonts w:asciiTheme="majorHAnsi" w:hAnsiTheme="majorHAnsi"/>
          <w:bCs/>
        </w:rPr>
        <w:t xml:space="preserve">ostvarene pozitivne  kamate iznose </w:t>
      </w:r>
      <w:r w:rsidR="00C7226F" w:rsidRPr="00F17E37">
        <w:rPr>
          <w:rFonts w:asciiTheme="majorHAnsi" w:hAnsiTheme="majorHAnsi"/>
          <w:bCs/>
        </w:rPr>
        <w:t>13.060,95KM.</w:t>
      </w:r>
      <w:r w:rsidR="002C40DD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</w:t>
      </w:r>
    </w:p>
    <w:p w:rsidR="00294E89" w:rsidRPr="00F17E37" w:rsidRDefault="00294E89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color w:val="000000"/>
          <w:u w:val="single"/>
        </w:rPr>
        <w:t>NOTA 5(AOP 24)</w:t>
      </w:r>
    </w:p>
    <w:p w:rsidR="00294E89" w:rsidRPr="00F17E37" w:rsidRDefault="00294E89" w:rsidP="00E51992">
      <w:pPr>
        <w:pStyle w:val="Heading2"/>
        <w:spacing w:after="0"/>
      </w:pPr>
      <w:bookmarkStart w:id="36" w:name="_Toc507483677"/>
      <w:r w:rsidRPr="00F17E37">
        <w:t>Dugoročni plasmani u inostranstvu</w:t>
      </w:r>
      <w:bookmarkEnd w:id="36"/>
    </w:p>
    <w:p w:rsidR="004E280C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3417F5" w:rsidRPr="00F17E37">
        <w:rPr>
          <w:rFonts w:asciiTheme="majorHAnsi" w:hAnsiTheme="majorHAnsi"/>
          <w:bCs/>
        </w:rPr>
        <w:t xml:space="preserve">     </w:t>
      </w:r>
      <w:r w:rsidRPr="00F17E37">
        <w:rPr>
          <w:rFonts w:asciiTheme="majorHAnsi" w:hAnsiTheme="majorHAnsi"/>
          <w:bCs/>
        </w:rPr>
        <w:t>Dugoročni finansijski plasmani u inostranstvu u iznosu od 9.779 KM prestavljaju ulaganja u Coris international Paris iznos od 5.867,49KM i ulaganja u Coris international Ljubljana u iznosu od 3.911,66 KM,kao depozit za obavljanje putnič</w:t>
      </w:r>
      <w:r w:rsidR="001601E1" w:rsidRPr="00F17E37">
        <w:rPr>
          <w:rFonts w:asciiTheme="majorHAnsi" w:hAnsiTheme="majorHAnsi"/>
          <w:bCs/>
        </w:rPr>
        <w:t>kog zdravstvenog osiguranja.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6(AOP027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E51992">
      <w:pPr>
        <w:pStyle w:val="Heading2"/>
        <w:spacing w:after="0"/>
      </w:pPr>
      <w:bookmarkStart w:id="37" w:name="_Toc507483678"/>
      <w:r w:rsidRPr="00F17E37">
        <w:t>Ostali dugoročni finansijski plasmani</w:t>
      </w:r>
      <w:bookmarkEnd w:id="37"/>
    </w:p>
    <w:p w:rsidR="00D065E0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Ostali dugoročni finansijski plasmani prestavljaju uložena sredstva u Garantni  fond Biroa ZK u iznosu od 312.932,82 KM.Navedena sredstva</w:t>
      </w:r>
      <w:r w:rsidR="001601E1" w:rsidRPr="00F17E37">
        <w:rPr>
          <w:rFonts w:asciiTheme="majorHAnsi" w:hAnsiTheme="majorHAnsi"/>
          <w:bCs/>
        </w:rPr>
        <w:t xml:space="preserve"> nisu </w:t>
      </w:r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promjenu u 201</w:t>
      </w:r>
      <w:r w:rsidR="001601E1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</w:t>
      </w:r>
      <w:r w:rsidR="00B91A0E" w:rsidRPr="00F17E37">
        <w:rPr>
          <w:rFonts w:asciiTheme="majorHAnsi" w:hAnsiTheme="majorHAnsi"/>
          <w:bCs/>
        </w:rPr>
        <w:t xml:space="preserve">Nad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F17E37">
        <w:rPr>
          <w:rFonts w:asciiTheme="majorHAnsi" w:hAnsiTheme="majorHAnsi"/>
          <w:bCs/>
          <w:sz w:val="18"/>
          <w:szCs w:val="18"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7(AOP 029</w:t>
      </w:r>
      <w:r w:rsidRPr="00F17E37">
        <w:rPr>
          <w:rFonts w:asciiTheme="majorHAnsi" w:hAnsiTheme="majorHAnsi"/>
          <w:bCs/>
        </w:rPr>
        <w:t>)</w:t>
      </w:r>
    </w:p>
    <w:p w:rsidR="00D065E0" w:rsidRPr="00F17E37" w:rsidRDefault="00776104" w:rsidP="00012B28">
      <w:pPr>
        <w:pStyle w:val="Heading2"/>
      </w:pPr>
      <w:bookmarkStart w:id="38" w:name="_Toc507483679"/>
      <w:r w:rsidRPr="00F17E37">
        <w:t>Odložena poreska sredstva</w:t>
      </w:r>
      <w:r w:rsidR="00E232B4" w:rsidRPr="00F17E37">
        <w:t xml:space="preserve"> za 2017.g.nisu utvrđivana .</w:t>
      </w:r>
      <w:bookmarkEnd w:id="38"/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8(AOP 031)</w:t>
      </w:r>
    </w:p>
    <w:p w:rsidR="00776104" w:rsidRPr="00F17E37" w:rsidRDefault="00776104" w:rsidP="00E51992">
      <w:pPr>
        <w:pStyle w:val="Heading2"/>
        <w:spacing w:after="0"/>
      </w:pPr>
      <w:bookmarkStart w:id="39" w:name="_Toc507483680"/>
      <w:r w:rsidRPr="00F17E37">
        <w:t>Zalihe</w:t>
      </w:r>
      <w:bookmarkEnd w:id="39"/>
    </w:p>
    <w:p w:rsidR="00776104" w:rsidRPr="00F17E37" w:rsidRDefault="004E280C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>Na zalihama, Društvo vodi obrasce stroge evidencije i date avanse .</w:t>
      </w:r>
    </w:p>
    <w:tbl>
      <w:tblPr>
        <w:tblW w:w="9553" w:type="dxa"/>
        <w:tblInd w:w="93" w:type="dxa"/>
        <w:tblLook w:val="04A0" w:firstRow="1" w:lastRow="0" w:firstColumn="1" w:lastColumn="0" w:noHBand="0" w:noVBand="1"/>
      </w:tblPr>
      <w:tblGrid>
        <w:gridCol w:w="2002"/>
        <w:gridCol w:w="270"/>
        <w:gridCol w:w="993"/>
        <w:gridCol w:w="1986"/>
        <w:gridCol w:w="2027"/>
        <w:gridCol w:w="2275"/>
      </w:tblGrid>
      <w:tr w:rsidR="00776104" w:rsidRPr="00F17E37" w:rsidTr="00190DC5">
        <w:trPr>
          <w:trHeight w:val="278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201</w:t>
            </w:r>
            <w:r w:rsidR="000F15B5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po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:rsidTr="00190DC5">
        <w:trPr>
          <w:trHeight w:val="278"/>
        </w:trPr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12.516,54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12.516,54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104" w:rsidRPr="00F17E37" w:rsidTr="00190DC5">
        <w:trPr>
          <w:trHeight w:val="26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0F15B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6.238,89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499.11</w:t>
            </w:r>
            <w:r w:rsidR="00776104" w:rsidRPr="00F17E37">
              <w:rPr>
                <w:rFonts w:asciiTheme="majorHAnsi" w:hAnsiTheme="majorHAnsi"/>
                <w:iCs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5.739,78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104" w:rsidRPr="00F17E37" w:rsidTr="00190DC5">
        <w:trPr>
          <w:trHeight w:val="264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18.755,43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499,11</w:t>
            </w:r>
            <w:r w:rsidR="00776104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0F15B5" w:rsidP="00E5199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18.256,32</w:t>
            </w:r>
          </w:p>
        </w:tc>
      </w:tr>
    </w:tbl>
    <w:p w:rsidR="00E51992" w:rsidRPr="00F17E37" w:rsidRDefault="003417F5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    </w:t>
      </w:r>
    </w:p>
    <w:p w:rsidR="00776104" w:rsidRPr="00F17E37" w:rsidRDefault="00E51992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Na osnovu popisa stroge evidencije,polisa i zelenih kartona sa 31.12.201</w:t>
      </w:r>
      <w:r w:rsidR="004924A6" w:rsidRPr="00F17E37">
        <w:rPr>
          <w:rFonts w:asciiTheme="majorHAnsi" w:hAnsiTheme="majorHAnsi"/>
          <w:bCs/>
        </w:rPr>
        <w:t>7.</w:t>
      </w:r>
      <w:r w:rsidR="00776104" w:rsidRPr="00F17E37">
        <w:rPr>
          <w:rFonts w:asciiTheme="majorHAnsi" w:hAnsiTheme="majorHAnsi"/>
          <w:bCs/>
        </w:rPr>
        <w:t>g.</w:t>
      </w:r>
      <w:r w:rsidR="003417F5" w:rsidRPr="00F17E37">
        <w:rPr>
          <w:rFonts w:asciiTheme="majorHAnsi" w:hAnsiTheme="majorHAnsi"/>
          <w:bCs/>
        </w:rPr>
        <w:t>utvrđena 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zalih</w:t>
      </w:r>
      <w:r w:rsidR="00034B5E" w:rsidRPr="00F17E37">
        <w:rPr>
          <w:rFonts w:asciiTheme="majorHAnsi" w:hAnsiTheme="majorHAnsi"/>
          <w:bCs/>
        </w:rPr>
        <w:t xml:space="preserve">a polisa i zelenih kartona </w:t>
      </w:r>
      <w:r w:rsidR="00776104" w:rsidRPr="00F17E37">
        <w:rPr>
          <w:rFonts w:asciiTheme="majorHAnsi" w:hAnsiTheme="majorHAnsi"/>
          <w:bCs/>
        </w:rPr>
        <w:t xml:space="preserve"> </w:t>
      </w:r>
      <w:r w:rsidR="003417F5" w:rsidRPr="00F17E37">
        <w:rPr>
          <w:rFonts w:asciiTheme="majorHAnsi" w:hAnsiTheme="majorHAnsi"/>
          <w:bCs/>
        </w:rPr>
        <w:t>i troškovi po osnovu štampe polisa i zelenih kartona.</w:t>
      </w:r>
    </w:p>
    <w:p w:rsidR="00D065E0" w:rsidRPr="00F17E37" w:rsidRDefault="00776104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Na datim avansima su evidentirana neznatna plaćanja za buduće troškove kao što su:Pošta Prijedor </w:t>
      </w:r>
      <w:r w:rsidR="00D07CE1" w:rsidRPr="00F17E37">
        <w:rPr>
          <w:rFonts w:asciiTheme="majorHAnsi" w:hAnsiTheme="majorHAnsi"/>
          <w:bCs/>
        </w:rPr>
        <w:t>37,89</w:t>
      </w:r>
      <w:r w:rsidRPr="00F17E37">
        <w:rPr>
          <w:rFonts w:asciiTheme="majorHAnsi" w:hAnsiTheme="majorHAnsi"/>
          <w:bCs/>
        </w:rPr>
        <w:t xml:space="preserve"> KM </w:t>
      </w:r>
      <w:r w:rsidR="00D07CE1" w:rsidRPr="00F17E37">
        <w:rPr>
          <w:rFonts w:asciiTheme="majorHAnsi" w:hAnsiTheme="majorHAnsi"/>
          <w:bCs/>
        </w:rPr>
        <w:t>, E Asistent B.L 2.106 KM i Wop MD Stanari u iznosu 4.095KM.</w:t>
      </w:r>
      <w:r w:rsidRPr="00F17E37">
        <w:rPr>
          <w:rFonts w:asciiTheme="majorHAnsi" w:hAnsiTheme="majorHAnsi"/>
          <w:bCs/>
        </w:rPr>
        <w:t xml:space="preserve">Izvršena je ispravka potraživanja za date avanse u iznosu od </w:t>
      </w:r>
      <w:r w:rsidR="00D07CE1" w:rsidRPr="00F17E37">
        <w:rPr>
          <w:rFonts w:asciiTheme="majorHAnsi" w:hAnsiTheme="majorHAnsi"/>
          <w:bCs/>
        </w:rPr>
        <w:t>499,11</w:t>
      </w:r>
      <w:r w:rsidRPr="00F17E37">
        <w:rPr>
          <w:rFonts w:asciiTheme="majorHAnsi" w:hAnsiTheme="majorHAnsi"/>
          <w:bCs/>
        </w:rPr>
        <w:t xml:space="preserve"> KM,prema Pravilniku o procjenjivanju bila</w:t>
      </w:r>
      <w:r w:rsidR="004924A6" w:rsidRPr="00F17E37">
        <w:rPr>
          <w:rFonts w:asciiTheme="majorHAnsi" w:hAnsiTheme="majorHAnsi"/>
          <w:bCs/>
        </w:rPr>
        <w:t>nsnih i van bilansnih pozicija.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9(AOP 037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C32231">
      <w:pPr>
        <w:pStyle w:val="Heading2"/>
        <w:spacing w:after="0"/>
      </w:pPr>
      <w:bookmarkStart w:id="40" w:name="_Toc507483681"/>
      <w:r w:rsidRPr="00F17E37">
        <w:t>Potraživanja po osnovu premije neživotnih osiguranja</w:t>
      </w:r>
      <w:bookmarkEnd w:id="40"/>
    </w:p>
    <w:p w:rsidR="00C17FD4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Potraživanja po osnovu premije neživotnih osiguranja predstavljaju potraživanja po osnovu nezgode,putničkog zdravsvenog osiguranja,kaska i imovine</w:t>
      </w:r>
      <w:r w:rsidR="00A47E70" w:rsidRPr="00F17E37">
        <w:rPr>
          <w:rFonts w:asciiTheme="majorHAnsi" w:hAnsiTheme="majorHAnsi"/>
          <w:bCs/>
        </w:rPr>
        <w:t>.</w:t>
      </w:r>
    </w:p>
    <w:p w:rsidR="00DF727C" w:rsidRDefault="00DF727C" w:rsidP="006D75F0">
      <w:pPr>
        <w:spacing w:after="0"/>
        <w:jc w:val="both"/>
        <w:rPr>
          <w:rFonts w:asciiTheme="majorHAnsi" w:hAnsiTheme="majorHAnsi"/>
          <w:bCs/>
        </w:rPr>
      </w:pPr>
    </w:p>
    <w:p w:rsidR="00DF727C" w:rsidRPr="00F17E37" w:rsidRDefault="00DF727C" w:rsidP="006D75F0">
      <w:pPr>
        <w:spacing w:after="0"/>
        <w:jc w:val="both"/>
        <w:rPr>
          <w:rFonts w:asciiTheme="majorHAnsi" w:hAnsiTheme="majorHAnsi"/>
          <w:bCs/>
        </w:rPr>
      </w:pPr>
    </w:p>
    <w:tbl>
      <w:tblPr>
        <w:tblW w:w="9495" w:type="dxa"/>
        <w:tblInd w:w="93" w:type="dxa"/>
        <w:tblLook w:val="04A0" w:firstRow="1" w:lastRow="0" w:firstColumn="1" w:lastColumn="0" w:noHBand="0" w:noVBand="1"/>
      </w:tblPr>
      <w:tblGrid>
        <w:gridCol w:w="2866"/>
        <w:gridCol w:w="283"/>
        <w:gridCol w:w="286"/>
        <w:gridCol w:w="284"/>
        <w:gridCol w:w="1850"/>
        <w:gridCol w:w="485"/>
        <w:gridCol w:w="1187"/>
        <w:gridCol w:w="2271"/>
      </w:tblGrid>
      <w:tr w:rsidR="00776104" w:rsidRPr="00F17E37" w:rsidTr="00A47E70">
        <w:trPr>
          <w:trHeight w:val="175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lastRenderedPageBreak/>
              <w:t>Naziv potraživanja po osnovu premije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</w:p>
        </w:tc>
      </w:tr>
      <w:tr w:rsidR="00776104" w:rsidRPr="00F17E37" w:rsidTr="00A47E70">
        <w:trPr>
          <w:trHeight w:val="184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ao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36.337,66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16.837,85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19.499,81</w:t>
            </w:r>
          </w:p>
        </w:tc>
      </w:tr>
      <w:tr w:rsidR="00776104" w:rsidRPr="00F17E37" w:rsidTr="00A47E70">
        <w:trPr>
          <w:trHeight w:val="184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graničnog osig.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50,80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259,20</w:t>
            </w:r>
          </w:p>
        </w:tc>
      </w:tr>
      <w:tr w:rsidR="00776104" w:rsidRPr="00F17E37" w:rsidTr="00A47E70">
        <w:trPr>
          <w:trHeight w:val="184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osno. javnog prevoza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76104" w:rsidRPr="00F17E37" w:rsidTr="00A47E70">
        <w:trPr>
          <w:trHeight w:val="184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osno. kolekti. nezgode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9.028,53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1.450,74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7.577,79</w:t>
            </w:r>
          </w:p>
        </w:tc>
      </w:tr>
      <w:tr w:rsidR="00776104" w:rsidRPr="00F17E37" w:rsidTr="00A47E70">
        <w:trPr>
          <w:trHeight w:val="210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kaska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55E0" w:rsidRPr="00F17E37" w:rsidRDefault="008B2C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124.425,16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16.744,84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B2C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107.680,32</w:t>
            </w:r>
          </w:p>
        </w:tc>
      </w:tr>
      <w:tr w:rsidR="00776104" w:rsidRPr="00F17E37" w:rsidTr="00A47E70">
        <w:trPr>
          <w:trHeight w:val="175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imovine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B2C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96.137,00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9.427,98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8B2C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86.709,02</w:t>
            </w:r>
          </w:p>
        </w:tc>
      </w:tr>
      <w:tr w:rsidR="00776104" w:rsidRPr="00F17E37" w:rsidTr="00A47E70">
        <w:trPr>
          <w:trHeight w:val="184"/>
        </w:trPr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PZO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D65F2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98,40</w:t>
            </w:r>
          </w:p>
        </w:tc>
      </w:tr>
      <w:tr w:rsidR="00776104" w:rsidRPr="00F17E37" w:rsidTr="00A47E70">
        <w:trPr>
          <w:trHeight w:val="184"/>
        </w:trPr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266.480,85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F17E37" w:rsidRDefault="00A455E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44.656,31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DD65F2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221.824,54</w:t>
            </w:r>
          </w:p>
        </w:tc>
      </w:tr>
    </w:tbl>
    <w:p w:rsidR="00E51992" w:rsidRPr="00F17E37" w:rsidRDefault="00A47E70" w:rsidP="00A47E70">
      <w:pPr>
        <w:jc w:val="both"/>
        <w:rPr>
          <w:rFonts w:asciiTheme="majorHAnsi" w:hAnsiTheme="majorHAnsi"/>
          <w:bCs/>
          <w:sz w:val="20"/>
          <w:szCs w:val="20"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</w:p>
    <w:p w:rsidR="00776104" w:rsidRPr="00F17E37" w:rsidRDefault="00E51992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po osnovu premije neživotnih osiguranja su procjenjivana u skladu sa Pravilnikom o procjenjivanju bilansnih i vanbilansnih pozija</w:t>
      </w:r>
      <w:r w:rsidR="00A47E70" w:rsidRPr="00F17E37">
        <w:rPr>
          <w:rFonts w:asciiTheme="majorHAnsi" w:hAnsiTheme="majorHAnsi"/>
          <w:bCs/>
        </w:rPr>
        <w:t>,pa su ispravljena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DD65F2" w:rsidRPr="00F17E37">
        <w:rPr>
          <w:rFonts w:asciiTheme="majorHAnsi" w:hAnsiTheme="majorHAnsi"/>
          <w:bCs/>
        </w:rPr>
        <w:t>44.656,31</w:t>
      </w:r>
      <w:r w:rsidR="00776104" w:rsidRPr="00F17E37">
        <w:rPr>
          <w:rFonts w:asciiTheme="majorHAnsi" w:hAnsiTheme="majorHAnsi"/>
          <w:bCs/>
        </w:rPr>
        <w:t xml:space="preserve"> KM.U odnosu na predhodnu godinu</w:t>
      </w:r>
      <w:r w:rsidR="00DD65F2" w:rsidRPr="00F17E37">
        <w:rPr>
          <w:rFonts w:asciiTheme="majorHAnsi" w:hAnsiTheme="majorHAnsi"/>
          <w:bCs/>
        </w:rPr>
        <w:t xml:space="preserve"> došlo je do povećanja ispravke potraživanja u iznosu od 12</w:t>
      </w:r>
      <w:r w:rsidR="008B2C99" w:rsidRPr="00F17E37">
        <w:rPr>
          <w:rFonts w:asciiTheme="majorHAnsi" w:hAnsiTheme="majorHAnsi"/>
          <w:bCs/>
        </w:rPr>
        <w:t>.</w:t>
      </w:r>
      <w:r w:rsidR="00DD65F2" w:rsidRPr="00F17E37">
        <w:rPr>
          <w:rFonts w:asciiTheme="majorHAnsi" w:hAnsiTheme="majorHAnsi"/>
          <w:bCs/>
        </w:rPr>
        <w:t>798,56 KM.</w:t>
      </w:r>
    </w:p>
    <w:p w:rsidR="00776104" w:rsidRPr="00F17E37" w:rsidRDefault="00776104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O stanju potraživanja i ispravke potraživanja Društvo sastavlja obrazac POT i IVPOT  sa stanjem na dan 31.12.201</w:t>
      </w:r>
      <w:r w:rsidR="00DD65F2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.g.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Pr="00F17E37">
        <w:rPr>
          <w:rFonts w:asciiTheme="majorHAnsi" w:hAnsiTheme="majorHAnsi"/>
          <w:bCs/>
        </w:rPr>
        <w:t>: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885"/>
        <w:gridCol w:w="1161"/>
        <w:gridCol w:w="1074"/>
        <w:gridCol w:w="1035"/>
        <w:gridCol w:w="1161"/>
        <w:gridCol w:w="1186"/>
        <w:gridCol w:w="1238"/>
        <w:gridCol w:w="1564"/>
      </w:tblGrid>
      <w:tr w:rsidR="00776104" w:rsidRPr="00F17E37" w:rsidTr="00E51992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E51992">
        <w:trPr>
          <w:trHeight w:val="25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Iznos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29.814,75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20.838,02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25.247,71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77.400,48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189.080,37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86665" w:rsidP="00C1597A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266.480,85</w:t>
            </w:r>
          </w:p>
        </w:tc>
      </w:tr>
    </w:tbl>
    <w:p w:rsidR="008B2C99" w:rsidRPr="00F17E37" w:rsidRDefault="00E0442A" w:rsidP="00C32231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</w:p>
    <w:p w:rsidR="00776104" w:rsidRPr="00F17E37" w:rsidRDefault="00E0442A" w:rsidP="00190DC5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5321E" w:rsidRPr="00F17E37">
        <w:rPr>
          <w:rFonts w:asciiTheme="majorHAnsi" w:hAnsiTheme="majorHAnsi"/>
          <w:bCs/>
        </w:rPr>
        <w:t xml:space="preserve">    </w:t>
      </w:r>
      <w:r w:rsidR="00012B28" w:rsidRPr="00F17E37">
        <w:rPr>
          <w:rFonts w:asciiTheme="majorHAnsi" w:hAnsiTheme="majorHAnsi"/>
          <w:bCs/>
        </w:rPr>
        <w:t xml:space="preserve">Fakturisana premija </w:t>
      </w:r>
      <w:r w:rsidR="0015321E" w:rsidRPr="00F17E37">
        <w:rPr>
          <w:rFonts w:asciiTheme="majorHAnsi" w:hAnsiTheme="majorHAnsi"/>
          <w:bCs/>
        </w:rPr>
        <w:t xml:space="preserve"> je naplaćena </w:t>
      </w:r>
      <w:r w:rsidR="00117A43" w:rsidRPr="00F17E37">
        <w:rPr>
          <w:rFonts w:asciiTheme="majorHAnsi" w:hAnsiTheme="majorHAnsi"/>
          <w:bCs/>
        </w:rPr>
        <w:t xml:space="preserve"> 98,44%</w:t>
      </w:r>
      <w:r w:rsidR="00776104" w:rsidRPr="00F17E37">
        <w:rPr>
          <w:rFonts w:asciiTheme="majorHAnsi" w:hAnsiTheme="majorHAnsi"/>
          <w:bCs/>
        </w:rPr>
        <w:t xml:space="preserve"> ,stavljajući u odnos ukupno naplaćenu kroz ukupno fakturisanu premiju. Stalnim slanjem opomena i prozivanjem dužnika,obavještavanjem menađžmenta o stanju naplate,možemo konstatovati da je procenat  naplate zadovoljavajući,obzirom da se potraživanja po osnovu kaska i imovine naplaćaju odgođeno na rate.</w:t>
      </w:r>
    </w:p>
    <w:p w:rsidR="004F0EAC" w:rsidRPr="00F17E37" w:rsidRDefault="00D065E0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Sa 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stanjem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na dan 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31.12.201</w:t>
      </w:r>
      <w:r w:rsidR="00554D99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.g.je izvršen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direktan otpis 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nenaplaćenih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koja su starija od godinu dana i za koje se nije mogla</w:t>
      </w:r>
      <w:r w:rsidRPr="00F17E37">
        <w:rPr>
          <w:rFonts w:asciiTheme="majorHAnsi" w:hAnsiTheme="majorHAnsi"/>
          <w:bCs/>
        </w:rPr>
        <w:t xml:space="preserve"> postići naplata u 201</w:t>
      </w:r>
      <w:r w:rsidR="008B34E9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.g.i to:</w:t>
      </w:r>
      <w:r w:rsidR="008B2C99" w:rsidRPr="00F17E37">
        <w:rPr>
          <w:rFonts w:asciiTheme="majorHAnsi" w:hAnsiTheme="majorHAnsi"/>
          <w:bCs/>
        </w:rPr>
        <w:t>2.013KM kasko premije i</w:t>
      </w:r>
      <w:r w:rsidR="008B34E9" w:rsidRPr="00F17E37">
        <w:rPr>
          <w:rFonts w:asciiTheme="majorHAnsi" w:hAnsiTheme="majorHAnsi"/>
          <w:bCs/>
        </w:rPr>
        <w:t xml:space="preserve"> ostalih potraživanja u iznosu od 600KM.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402A07" w:rsidRPr="00F17E37" w:rsidRDefault="00776104" w:rsidP="00A47E7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Za potraživanja po osnovu premije su vršena usaglašavnja sa komitentim prema vrsti premije preko IOS-a na dan </w:t>
      </w:r>
      <w:r w:rsidR="00C07FE8" w:rsidRPr="00F17E37">
        <w:rPr>
          <w:rFonts w:asciiTheme="majorHAnsi" w:hAnsiTheme="majorHAnsi"/>
          <w:bCs/>
        </w:rPr>
        <w:t>15</w:t>
      </w:r>
      <w:r w:rsidRPr="00F17E37">
        <w:rPr>
          <w:rFonts w:asciiTheme="majorHAnsi" w:hAnsiTheme="majorHAnsi"/>
          <w:bCs/>
        </w:rPr>
        <w:t>.11.201</w:t>
      </w:r>
      <w:r w:rsidR="00C07FE8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.g. Od ukupno p</w:t>
      </w:r>
      <w:r w:rsidR="00C20EBE" w:rsidRPr="00F17E37">
        <w:rPr>
          <w:rFonts w:asciiTheme="majorHAnsi" w:hAnsiTheme="majorHAnsi"/>
          <w:bCs/>
        </w:rPr>
        <w:t>oslatih IOS-a za premiju:kaska 33</w:t>
      </w:r>
      <w:r w:rsidRPr="00F17E37">
        <w:rPr>
          <w:rFonts w:asciiTheme="majorHAnsi" w:hAnsiTheme="majorHAnsi"/>
          <w:bCs/>
        </w:rPr>
        <w:t>,ovjereno je 1</w:t>
      </w:r>
      <w:r w:rsidR="00C20EBE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,za premiju imovine 4</w:t>
      </w:r>
      <w:r w:rsidR="00C20EBE" w:rsidRPr="00F17E37">
        <w:rPr>
          <w:rFonts w:asciiTheme="majorHAnsi" w:hAnsiTheme="majorHAnsi"/>
          <w:bCs/>
        </w:rPr>
        <w:t>2</w:t>
      </w:r>
      <w:r w:rsidRPr="00F17E37">
        <w:rPr>
          <w:rFonts w:asciiTheme="majorHAnsi" w:hAnsiTheme="majorHAnsi"/>
          <w:bCs/>
        </w:rPr>
        <w:t xml:space="preserve">,ovjereno je </w:t>
      </w:r>
      <w:r w:rsidR="00C20EBE" w:rsidRPr="00F17E37">
        <w:rPr>
          <w:rFonts w:asciiTheme="majorHAnsi" w:hAnsiTheme="majorHAnsi"/>
          <w:bCs/>
        </w:rPr>
        <w:t>8</w:t>
      </w:r>
      <w:r w:rsidRPr="00F17E37">
        <w:rPr>
          <w:rFonts w:asciiTheme="majorHAnsi" w:hAnsiTheme="majorHAnsi"/>
          <w:bCs/>
        </w:rPr>
        <w:t xml:space="preserve"> i za premiju nezgode poslato </w:t>
      </w:r>
      <w:r w:rsidR="007E539F" w:rsidRPr="00F17E37">
        <w:rPr>
          <w:rFonts w:asciiTheme="majorHAnsi" w:hAnsiTheme="majorHAnsi"/>
          <w:bCs/>
        </w:rPr>
        <w:t>19</w:t>
      </w:r>
      <w:r w:rsidRPr="00F17E37">
        <w:rPr>
          <w:rFonts w:asciiTheme="majorHAnsi" w:hAnsiTheme="majorHAnsi"/>
          <w:bCs/>
        </w:rPr>
        <w:t xml:space="preserve">,ovjereno </w:t>
      </w:r>
      <w:r w:rsidR="007E539F" w:rsidRPr="00F17E37">
        <w:rPr>
          <w:rFonts w:asciiTheme="majorHAnsi" w:hAnsiTheme="majorHAnsi"/>
          <w:bCs/>
        </w:rPr>
        <w:t>9</w:t>
      </w:r>
      <w:r w:rsidRPr="00F17E37">
        <w:rPr>
          <w:rFonts w:asciiTheme="majorHAnsi" w:hAnsiTheme="majorHAnsi"/>
          <w:bCs/>
        </w:rPr>
        <w:t xml:space="preserve">  IOS-a</w:t>
      </w:r>
      <w:r w:rsidR="00402A07" w:rsidRPr="00F17E37">
        <w:rPr>
          <w:rFonts w:asciiTheme="majorHAnsi" w:hAnsiTheme="majorHAnsi"/>
          <w:bCs/>
        </w:rPr>
        <w:t xml:space="preserve">.      </w:t>
      </w:r>
    </w:p>
    <w:p w:rsidR="00402A07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10(AOP042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C32231">
      <w:pPr>
        <w:pStyle w:val="Heading2"/>
        <w:spacing w:after="0"/>
      </w:pPr>
      <w:bookmarkStart w:id="41" w:name="_Toc507483682"/>
      <w:r w:rsidRPr="00F17E37">
        <w:t xml:space="preserve">Potraživanje po osnovu premije reosiguranja u </w:t>
      </w:r>
      <w:r w:rsidR="00190DC5" w:rsidRPr="00F17E37">
        <w:t>zemlji</w:t>
      </w:r>
      <w:bookmarkEnd w:id="41"/>
    </w:p>
    <w:p w:rsidR="00776104" w:rsidRPr="00F17E37" w:rsidRDefault="00CD679B" w:rsidP="0015321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>Potraživanja po osnovu premije reosiguranja su izmirena sa 31.12.201</w:t>
      </w:r>
      <w:r w:rsidR="00B81415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.g.</w:t>
      </w:r>
    </w:p>
    <w:p w:rsidR="004F0EAC" w:rsidRPr="00F17E37" w:rsidRDefault="00776104" w:rsidP="00B706E4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Potraživanje je usaglašeno putem IOS-a sa 31.12.201</w:t>
      </w:r>
      <w:r w:rsidR="00B81415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.g</w:t>
      </w:r>
    </w:p>
    <w:p w:rsidR="00C1597A" w:rsidRDefault="00C1597A" w:rsidP="00591E04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C1597A" w:rsidRDefault="00C1597A" w:rsidP="00591E04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C1597A" w:rsidRDefault="00C1597A" w:rsidP="00591E04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B706E4" w:rsidRPr="00F17E37" w:rsidRDefault="00776104" w:rsidP="00591E04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11(AOP46)</w:t>
      </w:r>
    </w:p>
    <w:p w:rsidR="00776104" w:rsidRPr="00F17E37" w:rsidRDefault="00776104" w:rsidP="00B40EC7">
      <w:pPr>
        <w:pStyle w:val="Heading2"/>
        <w:spacing w:after="0"/>
      </w:pPr>
      <w:bookmarkStart w:id="42" w:name="_Toc507483683"/>
      <w:r w:rsidRPr="00F17E37">
        <w:t>Potraživanja iz specifičnih poslova</w:t>
      </w:r>
      <w:bookmarkEnd w:id="42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835"/>
        <w:gridCol w:w="805"/>
        <w:gridCol w:w="364"/>
        <w:gridCol w:w="261"/>
        <w:gridCol w:w="1178"/>
        <w:gridCol w:w="250"/>
        <w:gridCol w:w="1013"/>
        <w:gridCol w:w="349"/>
        <w:gridCol w:w="1069"/>
        <w:gridCol w:w="1178"/>
      </w:tblGrid>
      <w:tr w:rsidR="00776104" w:rsidRPr="00F17E37" w:rsidTr="00E51992">
        <w:trPr>
          <w:trHeight w:val="511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vr</w:t>
            </w:r>
            <w:r w:rsidR="00C17FD4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</w:t>
            </w:r>
            <w:r w:rsidR="00C1597A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vilniku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isp.i otpisu</w:t>
            </w:r>
          </w:p>
        </w:tc>
      </w:tr>
      <w:tr w:rsidR="00776104" w:rsidRPr="00F17E37" w:rsidTr="00D177C6">
        <w:trPr>
          <w:trHeight w:val="295"/>
        </w:trPr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261.370,3</w:t>
            </w:r>
            <w:r w:rsidR="00264B7E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81415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88.189,90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F1436" w:rsidP="00C1597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23.723,9</w:t>
            </w:r>
            <w:r w:rsidR="00D177C6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149.456,4</w:t>
            </w:r>
            <w:r w:rsidR="00264B7E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776104" w:rsidRPr="00F17E37" w:rsidTr="00D177C6">
        <w:trPr>
          <w:trHeight w:val="295"/>
        </w:trPr>
        <w:tc>
          <w:tcPr>
            <w:tcW w:w="4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B81415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8.000,63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81415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6.496,47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1.504,16</w:t>
            </w:r>
          </w:p>
        </w:tc>
      </w:tr>
      <w:tr w:rsidR="00776104" w:rsidRPr="00F17E37" w:rsidTr="00D177C6">
        <w:trPr>
          <w:trHeight w:val="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  imovine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B81415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1.202,00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81415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901,50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300,50</w:t>
            </w:r>
          </w:p>
        </w:tc>
      </w:tr>
      <w:tr w:rsidR="00776104" w:rsidRPr="00F17E37" w:rsidTr="00D177C6">
        <w:trPr>
          <w:trHeight w:val="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64B7E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270.572,99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95.587,87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23.723,97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F17E37" w:rsidRDefault="004F1436" w:rsidP="00C1597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151.261,1</w:t>
            </w:r>
            <w:r w:rsidR="00264B7E"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</w:t>
            </w:r>
          </w:p>
        </w:tc>
      </w:tr>
    </w:tbl>
    <w:p w:rsidR="00E51992" w:rsidRPr="00F17E37" w:rsidRDefault="009279E5" w:rsidP="00E51992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4F0EAC" w:rsidRPr="00F17E37" w:rsidRDefault="00E51992" w:rsidP="00E51992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AF6EFA" w:rsidRPr="00F17E37">
        <w:rPr>
          <w:rFonts w:asciiTheme="majorHAnsi" w:hAnsiTheme="majorHAnsi"/>
          <w:bCs/>
        </w:rPr>
        <w:t>270.572,99KM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</w:t>
      </w:r>
      <w:r w:rsidR="00AF6EFA" w:rsidRPr="00F17E37">
        <w:rPr>
          <w:rFonts w:asciiTheme="majorHAnsi" w:hAnsiTheme="majorHAnsi"/>
          <w:bCs/>
        </w:rPr>
        <w:t xml:space="preserve">snih i vanbilansnih pozicija pa je izvršena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563F7A" w:rsidRPr="00F17E37">
        <w:rPr>
          <w:rFonts w:asciiTheme="majorHAnsi" w:hAnsiTheme="majorHAnsi"/>
          <w:bCs/>
        </w:rPr>
        <w:t>60.917,87</w:t>
      </w:r>
      <w:r w:rsidR="00776104" w:rsidRPr="00F17E37">
        <w:rPr>
          <w:rFonts w:asciiTheme="majorHAnsi" w:hAnsiTheme="majorHAnsi"/>
          <w:bCs/>
        </w:rPr>
        <w:t>KM</w:t>
      </w:r>
      <w:r w:rsidR="003B7858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</w:t>
      </w:r>
      <w:r w:rsidR="003B7858" w:rsidRPr="00F17E3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iznosu od 34.670 KM je izvršen</w:t>
      </w:r>
      <w:r w:rsidR="00AF6EFA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</w:t>
      </w:r>
      <w:r w:rsidR="00AF6EFA" w:rsidRPr="00F17E37">
        <w:rPr>
          <w:rFonts w:asciiTheme="majorHAnsi" w:hAnsiTheme="majorHAnsi"/>
          <w:bCs/>
        </w:rPr>
        <w:t>ispravka</w:t>
      </w:r>
      <w:r w:rsidR="00776104" w:rsidRPr="00F17E37">
        <w:rPr>
          <w:rFonts w:asciiTheme="majorHAnsi" w:hAnsiTheme="majorHAnsi"/>
          <w:bCs/>
        </w:rPr>
        <w:t xml:space="preserve"> i utuživanje regresa u 2015.g.Od dana utuživanja pa do izrade završnog računa nije došlo do naplate utuženih regresa.</w:t>
      </w:r>
      <w:r w:rsidR="009279E5" w:rsidRPr="00F17E37">
        <w:rPr>
          <w:rFonts w:asciiTheme="majorHAnsi" w:hAnsiTheme="majorHAnsi"/>
          <w:bCs/>
        </w:rPr>
        <w:t>U 2017.g.je izvršen d</w:t>
      </w:r>
      <w:r w:rsidR="003B7858" w:rsidRPr="00F17E37">
        <w:rPr>
          <w:rFonts w:asciiTheme="majorHAnsi" w:hAnsiTheme="majorHAnsi"/>
          <w:bCs/>
        </w:rPr>
        <w:t xml:space="preserve">irektan otpis potraživanja po osnovu regresa u iznosu od </w:t>
      </w:r>
      <w:r w:rsidR="00AF6EFA" w:rsidRPr="00F17E37">
        <w:rPr>
          <w:rFonts w:asciiTheme="majorHAnsi" w:hAnsiTheme="majorHAnsi"/>
          <w:bCs/>
        </w:rPr>
        <w:t xml:space="preserve"> 23.723,97KM </w:t>
      </w:r>
      <w:r w:rsidR="003B7858" w:rsidRPr="00F17E37">
        <w:rPr>
          <w:rFonts w:asciiTheme="majorHAnsi" w:hAnsiTheme="majorHAnsi"/>
          <w:bCs/>
        </w:rPr>
        <w:t>zbog nemogućnosti naplate.</w:t>
      </w:r>
      <w:r w:rsidR="00AF6EFA" w:rsidRPr="00F17E37">
        <w:rPr>
          <w:rFonts w:asciiTheme="majorHAnsi" w:hAnsiTheme="majorHAnsi"/>
          <w:bCs/>
        </w:rPr>
        <w:t>U toku godine naplaćeno je 217.8</w:t>
      </w:r>
      <w:r w:rsidR="006B4401" w:rsidRPr="00F17E37">
        <w:rPr>
          <w:rFonts w:asciiTheme="majorHAnsi" w:hAnsiTheme="majorHAnsi"/>
          <w:bCs/>
        </w:rPr>
        <w:t>32,81 KM navedenih potraživanja,što je svakako pozitivno</w:t>
      </w:r>
      <w:r w:rsidR="003B7858" w:rsidRPr="00F17E37">
        <w:rPr>
          <w:rFonts w:asciiTheme="majorHAnsi" w:hAnsiTheme="majorHAnsi"/>
          <w:bCs/>
        </w:rPr>
        <w:t>,</w:t>
      </w:r>
      <w:r w:rsidR="006B4401" w:rsidRPr="00F17E37">
        <w:rPr>
          <w:rFonts w:asciiTheme="majorHAnsi" w:hAnsiTheme="majorHAnsi"/>
          <w:bCs/>
        </w:rPr>
        <w:t xml:space="preserve"> obzirom na ekonomsku situaciju u okruženju.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12(AOP047)</w:t>
      </w:r>
    </w:p>
    <w:p w:rsidR="00776104" w:rsidRPr="00F17E37" w:rsidRDefault="00776104" w:rsidP="00E51992">
      <w:pPr>
        <w:pStyle w:val="Heading2"/>
        <w:spacing w:after="0"/>
      </w:pPr>
      <w:bookmarkStart w:id="43" w:name="_Toc507483684"/>
      <w:r w:rsidRPr="00F17E37">
        <w:t>Druga potraživanja</w:t>
      </w:r>
      <w:bookmarkEnd w:id="43"/>
    </w:p>
    <w:p w:rsidR="00776104" w:rsidRPr="00F17E37" w:rsidRDefault="004F0EAC" w:rsidP="00B40EC7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kamata,zakupa,ostala potraživanja i pretplate po porezima.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2891"/>
        <w:gridCol w:w="1513"/>
        <w:gridCol w:w="278"/>
        <w:gridCol w:w="1024"/>
        <w:gridCol w:w="632"/>
        <w:gridCol w:w="1512"/>
        <w:gridCol w:w="1672"/>
      </w:tblGrid>
      <w:tr w:rsidR="00776104" w:rsidRPr="00F17E37" w:rsidTr="009161FC">
        <w:trPr>
          <w:trHeight w:val="528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E0442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</w:t>
            </w:r>
            <w:r w:rsidR="00E0442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B706E4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</w:t>
            </w:r>
            <w:r w:rsidR="00E0442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pr.</w:t>
            </w:r>
            <w:r w:rsidR="00B706E4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</w:t>
            </w:r>
            <w:r w:rsidR="00190DC5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o </w:t>
            </w:r>
            <w:r w:rsidR="00E0442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IV</w:t>
            </w: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76104" w:rsidRPr="00F17E37" w:rsidTr="009161FC">
        <w:trPr>
          <w:trHeight w:val="134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2.583,3</w:t>
            </w:r>
            <w:r w:rsidR="00FD0299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103,33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</w:t>
            </w:r>
            <w:r w:rsidR="0087612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479,99</w:t>
            </w:r>
          </w:p>
        </w:tc>
      </w:tr>
      <w:tr w:rsidR="00776104" w:rsidRPr="00F17E37" w:rsidTr="00E51992">
        <w:trPr>
          <w:trHeight w:val="141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16.880,00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1.194,68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15.685,32</w:t>
            </w:r>
          </w:p>
        </w:tc>
      </w:tr>
      <w:tr w:rsidR="00776104" w:rsidRPr="00F17E37" w:rsidTr="00E51992">
        <w:trPr>
          <w:trHeight w:val="141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kamate rezervnog  fonda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94860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1.491,46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119,32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1.372,14</w:t>
            </w:r>
          </w:p>
        </w:tc>
      </w:tr>
      <w:tr w:rsidR="00776104" w:rsidRPr="00F17E37" w:rsidTr="009161FC">
        <w:trPr>
          <w:trHeight w:val="1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325</w:t>
            </w:r>
            <w:r w:rsidR="00FD0299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120,00</w:t>
            </w:r>
          </w:p>
        </w:tc>
      </w:tr>
      <w:tr w:rsidR="00776104" w:rsidRPr="00F17E37" w:rsidTr="009161FC">
        <w:trPr>
          <w:trHeight w:val="1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Pretplata poreza</w:t>
            </w:r>
            <w:r w:rsidR="00FD0299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rj Brčko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10.985,81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FD0299" w:rsidP="00E5199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10.985,81</w:t>
            </w:r>
          </w:p>
        </w:tc>
      </w:tr>
      <w:tr w:rsidR="00776104" w:rsidRPr="00F17E37" w:rsidTr="009161FC">
        <w:trPr>
          <w:trHeight w:val="14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FD0299" w:rsidP="00E51992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32.265,5</w:t>
            </w:r>
            <w:r w:rsidR="00D4760B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FD0299" w:rsidP="00E51992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1.622,33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FD5230" w:rsidP="00E51992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30.643,2</w:t>
            </w:r>
            <w:r w:rsidR="00050B87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</w:tr>
    </w:tbl>
    <w:p w:rsidR="00E51992" w:rsidRPr="00F17E37" w:rsidRDefault="009161FC" w:rsidP="00E5199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:rsidR="00776104" w:rsidRPr="00F17E37" w:rsidRDefault="00E51992" w:rsidP="00E5199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050B87" w:rsidRPr="00F17E37">
        <w:rPr>
          <w:rFonts w:asciiTheme="majorHAnsi" w:hAnsiTheme="majorHAnsi"/>
          <w:bCs/>
        </w:rPr>
        <w:t>32.265,59KM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bilansnih i vanbilansnih pozicija,pa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336D71" w:rsidRPr="00F17E37">
        <w:rPr>
          <w:rFonts w:asciiTheme="majorHAnsi" w:hAnsiTheme="majorHAnsi"/>
          <w:bCs/>
        </w:rPr>
        <w:t>1.622,33KM</w:t>
      </w:r>
      <w:r w:rsidR="00DB4CBE" w:rsidRPr="00F17E37">
        <w:rPr>
          <w:rFonts w:asciiTheme="majorHAnsi" w:hAnsiTheme="majorHAnsi"/>
          <w:bCs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441A4A" w:rsidRPr="00F17E37">
        <w:rPr>
          <w:rFonts w:asciiTheme="majorHAnsi" w:hAnsiTheme="majorHAnsi"/>
          <w:bCs/>
        </w:rPr>
        <w:t xml:space="preserve">        </w:t>
      </w:r>
      <w:r w:rsidR="00DB4CBE" w:rsidRPr="00F17E37">
        <w:rPr>
          <w:rFonts w:asciiTheme="majorHAnsi" w:hAnsiTheme="majorHAnsi"/>
          <w:bCs/>
        </w:rPr>
        <w:t xml:space="preserve">    Potraživanja </w:t>
      </w:r>
      <w:r w:rsidR="00776104" w:rsidRPr="00F17E37">
        <w:rPr>
          <w:rFonts w:asciiTheme="majorHAnsi" w:hAnsiTheme="majorHAnsi"/>
          <w:bCs/>
        </w:rPr>
        <w:t>po osnovu kamata su nastala po osnovu zajma odobrenog</w:t>
      </w:r>
      <w:r w:rsidR="00CE0042" w:rsidRPr="00F17E37">
        <w:rPr>
          <w:rFonts w:asciiTheme="majorHAnsi" w:hAnsiTheme="majorHAnsi"/>
          <w:bCs/>
        </w:rPr>
        <w:t xml:space="preserve"> pravnom licu Brčko-gas Brčko,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garantnog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:rsidR="00776104" w:rsidRPr="00F17E37" w:rsidRDefault="007C71DA" w:rsidP="009161FC">
      <w:pPr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Pr="00F17E37">
        <w:rPr>
          <w:rFonts w:asciiTheme="majorHAnsi" w:hAnsiTheme="majorHAnsi"/>
          <w:bCs/>
        </w:rPr>
        <w:t xml:space="preserve">u </w:t>
      </w:r>
      <w:r w:rsidR="00776104" w:rsidRPr="00F17E37">
        <w:rPr>
          <w:rFonts w:asciiTheme="majorHAnsi" w:hAnsiTheme="majorHAnsi"/>
          <w:bCs/>
        </w:rPr>
        <w:t xml:space="preserve">zakup a na osnovu kojih je u toku godine naplaćeno </w:t>
      </w:r>
      <w:r w:rsidRPr="00F17E37">
        <w:rPr>
          <w:rFonts w:asciiTheme="majorHAnsi" w:hAnsiTheme="majorHAnsi"/>
          <w:bCs/>
        </w:rPr>
        <w:t xml:space="preserve"> </w:t>
      </w:r>
      <w:r w:rsidR="00CE0042" w:rsidRPr="00F17E37">
        <w:rPr>
          <w:rFonts w:asciiTheme="majorHAnsi" w:hAnsiTheme="majorHAnsi"/>
          <w:bCs/>
        </w:rPr>
        <w:t>511.483,04KM</w:t>
      </w:r>
      <w:r w:rsidR="00776104" w:rsidRPr="00F17E37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što je svakako uticalo pozitivno na novčani tok Društva.</w:t>
      </w:r>
      <w:r w:rsidR="004F0EAC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</w:t>
      </w:r>
      <w:r w:rsidRPr="00F17E37">
        <w:rPr>
          <w:rFonts w:asciiTheme="majorHAnsi" w:hAnsiTheme="majorHAnsi"/>
          <w:bCs/>
        </w:rPr>
        <w:t xml:space="preserve">           </w:t>
      </w:r>
      <w:r w:rsidR="009161FC" w:rsidRPr="00F17E37">
        <w:rPr>
          <w:rFonts w:asciiTheme="majorHAnsi" w:hAnsiTheme="majorHAnsi"/>
          <w:bCs/>
        </w:rPr>
        <w:t xml:space="preserve">                     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Zakupoprimci u 201</w:t>
      </w:r>
      <w:r w:rsidR="00CE0042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 godini su:BG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Pekot</w:t>
      </w:r>
      <w:r w:rsidR="0015321E" w:rsidRPr="00F17E37">
        <w:rPr>
          <w:rFonts w:asciiTheme="majorHAnsi" w:hAnsiTheme="majorHAnsi"/>
          <w:bCs/>
        </w:rPr>
        <w:t>eka Petrović-s</w:t>
      </w:r>
      <w:r w:rsidR="004F0EAC" w:rsidRPr="00F17E37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>K.Varoš,Pavlović</w:t>
      </w:r>
      <w:r w:rsidR="00776104" w:rsidRPr="00F17E37">
        <w:rPr>
          <w:rFonts w:asciiTheme="majorHAnsi" w:hAnsiTheme="majorHAnsi"/>
          <w:bCs/>
        </w:rPr>
        <w:t>I.Bank Bijeljina,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>,Mtel ad B.Luka,Nešković doo Bijeljina i Autocentar Nešković doo Bijeljina.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13(AOP 051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F17E37" w:rsidRDefault="00776104" w:rsidP="00E51992">
      <w:pPr>
        <w:pStyle w:val="Heading2"/>
        <w:spacing w:after="0"/>
      </w:pPr>
      <w:bookmarkStart w:id="44" w:name="_Toc507483685"/>
      <w:r w:rsidRPr="00F17E37">
        <w:lastRenderedPageBreak/>
        <w:t>Kratkoročni finansijski plasmani –depoziti</w:t>
      </w:r>
      <w:bookmarkEnd w:id="44"/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Priznavanje i vrednovanje kratkoročnih finansijskih plasmana se vrši u skladu sa MRS-39.</w:t>
      </w:r>
    </w:p>
    <w:tbl>
      <w:tblPr>
        <w:tblW w:w="9215" w:type="dxa"/>
        <w:tblInd w:w="88" w:type="dxa"/>
        <w:tblLook w:val="04A0" w:firstRow="1" w:lastRow="0" w:firstColumn="1" w:lastColumn="0" w:noHBand="0" w:noVBand="1"/>
      </w:tblPr>
      <w:tblGrid>
        <w:gridCol w:w="1872"/>
        <w:gridCol w:w="1364"/>
        <w:gridCol w:w="455"/>
        <w:gridCol w:w="1184"/>
        <w:gridCol w:w="2015"/>
        <w:gridCol w:w="1426"/>
        <w:gridCol w:w="899"/>
      </w:tblGrid>
      <w:tr w:rsidR="00776104" w:rsidRPr="00F17E37" w:rsidTr="009161FC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776104" w:rsidRPr="00F17E37" w:rsidTr="009161FC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MF Banka ad B.Luka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4282C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15.09.2016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4282C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15.08.2018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4282C" w:rsidP="00E5199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6454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82C" w:rsidRPr="00F17E37" w:rsidRDefault="00E4282C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4282C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3,40</w:t>
            </w:r>
          </w:p>
        </w:tc>
      </w:tr>
      <w:tr w:rsidR="00776104" w:rsidRPr="00F17E37" w:rsidTr="009161FC">
        <w:trPr>
          <w:trHeight w:val="3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4282C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1.200.000,00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:rsidR="00E51992" w:rsidRPr="00F17E37" w:rsidRDefault="009161FC" w:rsidP="00C32231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7F1D25" w:rsidRPr="00F17E37" w:rsidRDefault="00E51992" w:rsidP="00C32231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9161FC"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Navedeni depozit služi za pokriće tehničkih rezervi društva u skladu sa Pravilnikom o ulaganju sredstava društva za osiguranje.Po navedenim depozitima je oprihodovana kamata u iznosu od</w:t>
      </w:r>
      <w:r w:rsidR="006A39D6" w:rsidRPr="00F17E37">
        <w:rPr>
          <w:rFonts w:asciiTheme="majorHAnsi" w:hAnsiTheme="majorHAnsi"/>
          <w:bCs/>
        </w:rPr>
        <w:t xml:space="preserve"> 36.765,26KM.</w:t>
      </w:r>
    </w:p>
    <w:p w:rsidR="007F1D25" w:rsidRPr="00F17E37" w:rsidRDefault="009161FC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B256C3" w:rsidRPr="00F17E37">
        <w:rPr>
          <w:rFonts w:asciiTheme="majorHAnsi" w:hAnsiTheme="majorHAnsi"/>
          <w:bCs/>
        </w:rPr>
        <w:t xml:space="preserve">   </w:t>
      </w:r>
      <w:r w:rsidR="007F1D25" w:rsidRPr="00F17E37">
        <w:rPr>
          <w:rFonts w:asciiTheme="majorHAnsi" w:hAnsiTheme="majorHAnsi"/>
          <w:bCs/>
        </w:rPr>
        <w:t>Pored navedenodg depozita u kratkoročnim finansijskim plasmanima je i odobren zajam</w:t>
      </w:r>
      <w:r w:rsidR="00B256C3" w:rsidRPr="00F17E37">
        <w:rPr>
          <w:rFonts w:asciiTheme="majorHAnsi" w:hAnsiTheme="majorHAnsi"/>
          <w:bCs/>
        </w:rPr>
        <w:t xml:space="preserve"> pravnom licu</w:t>
      </w:r>
      <w:r w:rsidR="007F1D25" w:rsidRPr="00F17E37">
        <w:rPr>
          <w:rFonts w:asciiTheme="majorHAnsi" w:hAnsiTheme="majorHAnsi"/>
          <w:bCs/>
        </w:rPr>
        <w:t xml:space="preserve"> Brčko gas Brčko</w:t>
      </w:r>
      <w:r w:rsidR="00B256C3" w:rsidRPr="00F17E37">
        <w:rPr>
          <w:rFonts w:asciiTheme="majorHAnsi" w:hAnsiTheme="majorHAnsi"/>
          <w:bCs/>
        </w:rPr>
        <w:t xml:space="preserve">  pod sledećim uslovim:</w:t>
      </w:r>
    </w:p>
    <w:tbl>
      <w:tblPr>
        <w:tblW w:w="9427" w:type="dxa"/>
        <w:tblInd w:w="93" w:type="dxa"/>
        <w:tblLook w:val="04A0" w:firstRow="1" w:lastRow="0" w:firstColumn="1" w:lastColumn="0" w:noHBand="0" w:noVBand="1"/>
      </w:tblPr>
      <w:tblGrid>
        <w:gridCol w:w="1987"/>
        <w:gridCol w:w="1275"/>
        <w:gridCol w:w="455"/>
        <w:gridCol w:w="1240"/>
        <w:gridCol w:w="2018"/>
        <w:gridCol w:w="1514"/>
        <w:gridCol w:w="954"/>
      </w:tblGrid>
      <w:tr w:rsidR="00B256C3" w:rsidRPr="00F17E37" w:rsidTr="00E4077E">
        <w:trPr>
          <w:trHeight w:val="30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B256C3" w:rsidRPr="00F17E37" w:rsidTr="00E4077E">
        <w:trPr>
          <w:trHeight w:val="30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Brčko gas Brčko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15.12.2015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15.12.2018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01-1412/2015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1.000.000</w:t>
            </w:r>
            <w:r w:rsidR="00E56D84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6C3" w:rsidRPr="00F17E37" w:rsidRDefault="00B256C3" w:rsidP="00E4077E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3,10</w:t>
            </w:r>
          </w:p>
        </w:tc>
      </w:tr>
    </w:tbl>
    <w:p w:rsidR="00B256C3" w:rsidRPr="00F17E37" w:rsidRDefault="00B256C3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Sredstav navedenog depozita i zajma služe za pokriće tehničkih rezervi Društva.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14(AOP 055)</w:t>
      </w:r>
    </w:p>
    <w:p w:rsidR="00776104" w:rsidRPr="00F17E37" w:rsidRDefault="00776104" w:rsidP="00294E89">
      <w:pPr>
        <w:pStyle w:val="Heading2"/>
      </w:pPr>
      <w:bookmarkStart w:id="45" w:name="_Toc507483686"/>
      <w:r w:rsidRPr="00F17E37">
        <w:t>Finansijska sredstva po fer vrijednosti kroz bilans uspjeha</w:t>
      </w:r>
      <w:bookmarkEnd w:id="45"/>
    </w:p>
    <w:p w:rsidR="009767AA" w:rsidRPr="00F17E37" w:rsidRDefault="00DD0B1F" w:rsidP="00C32231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Društvo raspolaže s</w:t>
      </w:r>
      <w:r w:rsidR="00C32231">
        <w:rPr>
          <w:rFonts w:asciiTheme="majorHAnsi" w:hAnsiTheme="majorHAnsi"/>
          <w:bCs/>
        </w:rPr>
        <w:t>a akcijama sledećih komitenata:</w:t>
      </w: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1454"/>
        <w:gridCol w:w="2322"/>
        <w:gridCol w:w="1229"/>
        <w:gridCol w:w="1226"/>
        <w:gridCol w:w="1524"/>
        <w:gridCol w:w="1567"/>
      </w:tblGrid>
      <w:tr w:rsidR="00776104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:rsidTr="009161FC">
        <w:trPr>
          <w:trHeight w:val="416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47.381,40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0,109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16.568,00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428,17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INVP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 nova Bijeljina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395,95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0,009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992,85</w:t>
            </w:r>
          </w:p>
        </w:tc>
      </w:tr>
      <w:tr w:rsidR="00593759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514,74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23304B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0,6</w:t>
            </w:r>
            <w:r w:rsidR="00AB24B9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7.229,30</w:t>
            </w:r>
          </w:p>
        </w:tc>
      </w:tr>
      <w:tr w:rsidR="00776104" w:rsidRPr="00F17E37" w:rsidTr="009161FC">
        <w:trPr>
          <w:trHeight w:val="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5199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593759" w:rsidP="00E5199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73.510,41</w:t>
            </w:r>
          </w:p>
        </w:tc>
      </w:tr>
    </w:tbl>
    <w:p w:rsidR="00E51992" w:rsidRPr="00F17E37" w:rsidRDefault="009161FC" w:rsidP="00790A4B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776104" w:rsidRPr="00F17E37" w:rsidRDefault="00E51992" w:rsidP="00790A4B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 Na dan 31.12.201</w:t>
      </w:r>
      <w:r w:rsidR="00593759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.g.je izvodom iz Centralnog registra je potvđeno stanje akcija po komitentima kojima Društvo 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Vrednovanje akcija se vrši svođenjem na prosječnu berzansku </w:t>
      </w:r>
      <w:r w:rsidR="00C612D4" w:rsidRPr="00F17E37">
        <w:rPr>
          <w:rFonts w:asciiTheme="majorHAnsi" w:hAnsiTheme="majorHAnsi"/>
          <w:bCs/>
        </w:rPr>
        <w:t>cijenu na dan 31.12.201</w:t>
      </w:r>
      <w:r w:rsidR="00593759" w:rsidRPr="00F17E37">
        <w:rPr>
          <w:rFonts w:asciiTheme="majorHAnsi" w:hAnsiTheme="majorHAnsi"/>
          <w:bCs/>
        </w:rPr>
        <w:t>7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 odnosno kursnoj listi Banjalučke berze.  Klasifikacija akcija u skladu sa MRS-39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trgovanju,kroz bilans uspjeha</w:t>
      </w:r>
      <w:r w:rsidR="00776104" w:rsidRPr="00F17E37">
        <w:rPr>
          <w:rFonts w:asciiTheme="majorHAnsi" w:hAnsiTheme="majorHAnsi"/>
          <w:bCs/>
        </w:rPr>
        <w:t xml:space="preserve">     </w:t>
      </w:r>
      <w:r w:rsidR="00DD0B1F">
        <w:rPr>
          <w:rFonts w:asciiTheme="majorHAnsi" w:hAnsiTheme="majorHAnsi"/>
          <w:bCs/>
        </w:rPr>
        <w:t xml:space="preserve">                </w:t>
      </w:r>
      <w:r w:rsidR="00776104" w:rsidRPr="00F17E37">
        <w:rPr>
          <w:rFonts w:asciiTheme="majorHAnsi" w:hAnsiTheme="majorHAnsi"/>
          <w:bCs/>
        </w:rPr>
        <w:t xml:space="preserve">U odnosu  na  početno stanje smanjena je vrijednost akcija u iznosu od </w:t>
      </w:r>
      <w:r w:rsidR="00593759" w:rsidRPr="00F17E37">
        <w:rPr>
          <w:rFonts w:asciiTheme="majorHAnsi" w:hAnsiTheme="majorHAnsi"/>
          <w:bCs/>
        </w:rPr>
        <w:t>15.161,66</w:t>
      </w:r>
      <w:r w:rsidR="0023304B" w:rsidRPr="00F17E37">
        <w:rPr>
          <w:rFonts w:asciiTheme="majorHAnsi" w:hAnsiTheme="majorHAnsi"/>
          <w:bCs/>
        </w:rPr>
        <w:t>0,60</w:t>
      </w:r>
      <w:r w:rsidR="00776104" w:rsidRPr="00F17E37">
        <w:rPr>
          <w:rFonts w:asciiTheme="majorHAnsi" w:hAnsiTheme="majorHAnsi"/>
          <w:bCs/>
        </w:rPr>
        <w:t xml:space="preserve"> KM što je teretilo ostale rashode perioda,odnosno sve promjene se efektuju preko bilansa uspjeha. Navedena sredstva služe za pokriće tehničkih rezervi Društva a u skladu sa Pravilnikom o ulaganju sredstava duštava za osiguranje.</w:t>
      </w:r>
    </w:p>
    <w:p w:rsidR="00C1597A" w:rsidRDefault="00C1597A" w:rsidP="00776104">
      <w:pPr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15(AOP060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6D75F0">
      <w:pPr>
        <w:pStyle w:val="Heading2"/>
        <w:spacing w:after="0"/>
      </w:pPr>
      <w:bookmarkStart w:id="46" w:name="_Toc507483687"/>
      <w:r w:rsidRPr="00F17E37">
        <w:t>Gotovina</w:t>
      </w:r>
      <w:bookmarkEnd w:id="46"/>
    </w:p>
    <w:tbl>
      <w:tblPr>
        <w:tblW w:w="9668" w:type="dxa"/>
        <w:tblInd w:w="93" w:type="dxa"/>
        <w:tblLook w:val="04A0" w:firstRow="1" w:lastRow="0" w:firstColumn="1" w:lastColumn="0" w:noHBand="0" w:noVBand="1"/>
      </w:tblPr>
      <w:tblGrid>
        <w:gridCol w:w="3258"/>
        <w:gridCol w:w="306"/>
        <w:gridCol w:w="802"/>
        <w:gridCol w:w="272"/>
        <w:gridCol w:w="1784"/>
        <w:gridCol w:w="1224"/>
        <w:gridCol w:w="2022"/>
      </w:tblGrid>
      <w:tr w:rsidR="00776104" w:rsidRPr="00F17E37" w:rsidTr="00371A1E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račun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4A783B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Nova banka ad Bijeljina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377.029,67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14.916,62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391.946,29</w:t>
            </w:r>
          </w:p>
        </w:tc>
      </w:tr>
      <w:tr w:rsidR="00776104" w:rsidRPr="00F17E37" w:rsidTr="004A783B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Sberbank ad B.Luka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120.984,97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2D37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2.274,21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123.259,18</w:t>
            </w:r>
          </w:p>
        </w:tc>
      </w:tr>
      <w:tr w:rsidR="00776104" w:rsidRPr="00F17E37" w:rsidTr="004A783B">
        <w:trPr>
          <w:trHeight w:val="271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Razvojna Banka ad B.Luka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382.768,41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382.768,41</w:t>
            </w:r>
          </w:p>
        </w:tc>
      </w:tr>
      <w:tr w:rsidR="00776104" w:rsidRPr="00F17E37" w:rsidTr="004A783B">
        <w:trPr>
          <w:trHeight w:val="271"/>
        </w:trPr>
        <w:tc>
          <w:tcPr>
            <w:tcW w:w="4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Pavlović Int.bank ad Bijeljina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DE5F8C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75161A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997,99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14.002,55</w:t>
            </w:r>
          </w:p>
        </w:tc>
      </w:tr>
      <w:tr w:rsidR="00776104" w:rsidRPr="00F17E37" w:rsidTr="00441A4A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Addiko banka ad B.Luka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1.093,73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1.093,73</w:t>
            </w:r>
          </w:p>
        </w:tc>
      </w:tr>
      <w:tr w:rsidR="00776104" w:rsidRPr="00F17E37" w:rsidTr="00441A4A">
        <w:trPr>
          <w:trHeight w:val="258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Komercijalna Banka B.Luka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46.464,15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46.464,15</w:t>
            </w:r>
          </w:p>
        </w:tc>
      </w:tr>
      <w:tr w:rsidR="00776104" w:rsidRPr="00F17E37" w:rsidTr="009161FC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Uni credit bank Mostar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5.057,81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5.057,81</w:t>
            </w:r>
          </w:p>
        </w:tc>
      </w:tr>
      <w:tr w:rsidR="00776104" w:rsidRPr="00F17E37" w:rsidTr="0064696B">
        <w:trPr>
          <w:trHeight w:val="258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Mf Banka ad B.Luka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30.599,16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53.104,38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83.703,54</w:t>
            </w:r>
          </w:p>
        </w:tc>
      </w:tr>
      <w:tr w:rsidR="0075161A" w:rsidRPr="00F17E37" w:rsidTr="004A783B">
        <w:trPr>
          <w:trHeight w:val="258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F17E37" w:rsidRDefault="0075161A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Intesa sanpaolo dd Sarajevo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F17E37" w:rsidRDefault="0075161A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F17E37" w:rsidRDefault="0075161A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231,45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2.745,79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2.977,24</w:t>
            </w:r>
          </w:p>
        </w:tc>
      </w:tr>
      <w:tr w:rsidR="00776104" w:rsidRPr="00F17E37" w:rsidTr="004A783B">
        <w:trPr>
          <w:trHeight w:val="258"/>
        </w:trPr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Uni credit bank ad B.Luka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83B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39.171,51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88,21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39.259,72</w:t>
            </w:r>
          </w:p>
        </w:tc>
      </w:tr>
      <w:tr w:rsidR="00776104" w:rsidRPr="00F17E37" w:rsidTr="009767AA">
        <w:trPr>
          <w:trHeight w:val="2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Blagajna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2,59</w:t>
            </w:r>
          </w:p>
        </w:tc>
      </w:tr>
      <w:tr w:rsidR="00776104" w:rsidRPr="00F17E37" w:rsidTr="009767AA">
        <w:trPr>
          <w:trHeight w:val="2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A783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1.01</w:t>
            </w:r>
            <w:r w:rsidR="0075161A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75161A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401,44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73</w:t>
            </w:r>
            <w:r w:rsidR="00441A4A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133,77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32D3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1.090.535,21</w:t>
            </w:r>
          </w:p>
        </w:tc>
      </w:tr>
    </w:tbl>
    <w:p w:rsidR="00AD44A2" w:rsidRPr="00F17E37" w:rsidRDefault="00976E68" w:rsidP="00790A4B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</w:rPr>
        <w:t xml:space="preserve">     </w:t>
      </w:r>
      <w:r w:rsidR="00790A4B" w:rsidRPr="00F17E37">
        <w:rPr>
          <w:rFonts w:asciiTheme="majorHAnsi" w:hAnsiTheme="majorHAnsi"/>
          <w:bCs/>
        </w:rPr>
        <w:t xml:space="preserve">  </w:t>
      </w:r>
    </w:p>
    <w:p w:rsidR="00776104" w:rsidRPr="00F17E37" w:rsidRDefault="00AD44A2" w:rsidP="00790A4B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90A4B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Svoje poslovne aktivnosti Društvo obavlja preko </w:t>
      </w:r>
      <w:r w:rsidR="008733E4" w:rsidRPr="00F17E37">
        <w:rPr>
          <w:rFonts w:asciiTheme="majorHAnsi" w:hAnsiTheme="majorHAnsi"/>
          <w:bCs/>
        </w:rPr>
        <w:t>10</w:t>
      </w:r>
      <w:r w:rsidR="00776104" w:rsidRPr="00F17E37">
        <w:rPr>
          <w:rFonts w:asciiTheme="majorHAnsi" w:hAnsiTheme="majorHAnsi"/>
          <w:bCs/>
        </w:rPr>
        <w:t xml:space="preserve"> poslovnih banaka.Novčana sredstva koja se vode na računima poslovnih banaka služe za pokriće tehničkih rezervi Društva u visini od 10%, u skladu sa Pravilnikom o ulaganjima sredstava društava za osiguranje.Stanje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16(AOP062</w:t>
      </w:r>
      <w:r w:rsidRPr="00F17E37">
        <w:rPr>
          <w:rFonts w:asciiTheme="majorHAnsi" w:hAnsiTheme="majorHAnsi"/>
          <w:b/>
          <w:bCs/>
        </w:rPr>
        <w:t>)</w:t>
      </w:r>
    </w:p>
    <w:p w:rsidR="00294E89" w:rsidRPr="00F17E37" w:rsidRDefault="00A51602" w:rsidP="00DD0B1F">
      <w:pPr>
        <w:pStyle w:val="Heading2"/>
      </w:pPr>
      <w:bookmarkStart w:id="47" w:name="_Toc507483688"/>
      <w:r w:rsidRPr="00F17E37">
        <w:t>AVR</w:t>
      </w:r>
      <w:bookmarkEnd w:id="47"/>
    </w:p>
    <w:p w:rsidR="00E51992" w:rsidRPr="009B2B1A" w:rsidRDefault="00671B3F" w:rsidP="009B2B1A">
      <w:pPr>
        <w:spacing w:before="24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DD0B1F">
        <w:rPr>
          <w:rFonts w:asciiTheme="majorHAnsi" w:hAnsiTheme="majorHAnsi"/>
          <w:bCs/>
        </w:rPr>
        <w:t>Na aktiv</w:t>
      </w:r>
      <w:r w:rsidR="00776104" w:rsidRPr="00F17E37">
        <w:rPr>
          <w:rFonts w:asciiTheme="majorHAnsi" w:hAnsiTheme="majorHAnsi"/>
          <w:bCs/>
        </w:rPr>
        <w:t xml:space="preserve">nim vremenskim razgraničenjima u iznosu od </w:t>
      </w:r>
      <w:r w:rsidR="008733E4" w:rsidRPr="00F17E37">
        <w:rPr>
          <w:rFonts w:asciiTheme="majorHAnsi" w:hAnsiTheme="majorHAnsi"/>
          <w:bCs/>
        </w:rPr>
        <w:t>216.134,68KM</w:t>
      </w:r>
      <w:r w:rsidR="00776104" w:rsidRPr="00F17E37">
        <w:rPr>
          <w:rFonts w:asciiTheme="majorHAnsi" w:hAnsiTheme="majorHAnsi"/>
          <w:bCs/>
        </w:rPr>
        <w:t>. Društvo vodi</w:t>
      </w:r>
      <w:r w:rsidR="00976E68" w:rsidRPr="00F17E37">
        <w:rPr>
          <w:rFonts w:asciiTheme="majorHAnsi" w:hAnsiTheme="majorHAnsi"/>
          <w:bCs/>
        </w:rPr>
        <w:t xml:space="preserve">:           </w:t>
      </w:r>
      <w:r w:rsidRPr="00F17E37">
        <w:rPr>
          <w:rFonts w:asciiTheme="majorHAnsi" w:hAnsiTheme="majorHAnsi"/>
          <w:bCs/>
        </w:rPr>
        <w:t>1.</w:t>
      </w:r>
      <w:r w:rsidR="00776104" w:rsidRPr="00F17E37">
        <w:rPr>
          <w:rFonts w:asciiTheme="majorHAnsi" w:hAnsiTheme="majorHAnsi"/>
          <w:bCs/>
        </w:rPr>
        <w:t xml:space="preserve">Kamate na depozitima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iznosu od </w:t>
      </w:r>
      <w:r w:rsidR="008733E4" w:rsidRPr="00F17E37">
        <w:rPr>
          <w:rFonts w:asciiTheme="majorHAnsi" w:hAnsiTheme="majorHAnsi"/>
          <w:bCs/>
        </w:rPr>
        <w:t>23.450,19KM ,</w:t>
      </w:r>
      <w:r w:rsidR="00776104" w:rsidRPr="00F17E37">
        <w:rPr>
          <w:rFonts w:asciiTheme="majorHAnsi" w:hAnsiTheme="majorHAnsi"/>
          <w:bCs/>
        </w:rPr>
        <w:t xml:space="preserve"> knjižene po načelu uzročnosti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nastanka prihoda,odnosno one kamate koje su </w:t>
      </w:r>
      <w:r w:rsidR="008733E4" w:rsidRPr="00F17E37">
        <w:rPr>
          <w:rFonts w:asciiTheme="majorHAnsi" w:hAnsiTheme="majorHAnsi"/>
          <w:bCs/>
        </w:rPr>
        <w:t xml:space="preserve">dospjele i </w:t>
      </w:r>
      <w:r w:rsidR="00776104" w:rsidRPr="00F17E37">
        <w:rPr>
          <w:rFonts w:asciiTheme="majorHAnsi" w:hAnsiTheme="majorHAnsi"/>
          <w:bCs/>
        </w:rPr>
        <w:t>knjižene u prihodima a nisu prenijete na račun</w:t>
      </w:r>
      <w:r w:rsidR="008733E4" w:rsidRPr="00F17E37">
        <w:rPr>
          <w:rFonts w:asciiTheme="majorHAnsi" w:hAnsiTheme="majorHAnsi"/>
          <w:bCs/>
        </w:rPr>
        <w:t xml:space="preserve"> do</w:t>
      </w:r>
      <w:r w:rsidR="00976E68" w:rsidRPr="00F17E37">
        <w:rPr>
          <w:rFonts w:asciiTheme="majorHAnsi" w:hAnsiTheme="majorHAnsi"/>
          <w:bCs/>
        </w:rPr>
        <w:t>31.12.2017.g.</w:t>
      </w:r>
      <w:r w:rsidR="00721466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</w:t>
      </w:r>
      <w:r w:rsidR="00976E68" w:rsidRPr="00F17E37">
        <w:rPr>
          <w:rFonts w:asciiTheme="majorHAnsi" w:hAnsiTheme="majorHAnsi"/>
          <w:bCs/>
        </w:rPr>
        <w:t>2.</w:t>
      </w:r>
      <w:r w:rsidR="00776104" w:rsidRPr="00F17E37">
        <w:rPr>
          <w:rFonts w:asciiTheme="majorHAnsi" w:hAnsiTheme="majorHAnsi"/>
          <w:bCs/>
        </w:rPr>
        <w:t>Razgraničeni troškovi reosiguranja po osnovu prenosne premije</w:t>
      </w:r>
      <w:r w:rsidR="0035221C" w:rsidRPr="00F17E37">
        <w:rPr>
          <w:rFonts w:asciiTheme="majorHAnsi" w:hAnsiTheme="majorHAnsi"/>
          <w:bCs/>
        </w:rPr>
        <w:t xml:space="preserve"> reosiguranja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8733E4" w:rsidRPr="00F17E37">
        <w:rPr>
          <w:rFonts w:asciiTheme="majorHAnsi" w:hAnsiTheme="majorHAnsi"/>
          <w:bCs/>
        </w:rPr>
        <w:t>192.684,49KM</w:t>
      </w:r>
      <w:r w:rsidR="00776104"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17(AOP 102)</w:t>
      </w:r>
    </w:p>
    <w:p w:rsidR="00776104" w:rsidRPr="00F17E37" w:rsidRDefault="00A51602" w:rsidP="006D75F0">
      <w:pPr>
        <w:pStyle w:val="Heading2"/>
        <w:spacing w:after="0"/>
      </w:pPr>
      <w:bookmarkStart w:id="48" w:name="_Toc507483689"/>
      <w:r w:rsidRPr="00F17E37">
        <w:t>Akcijski kapital</w:t>
      </w:r>
      <w:bookmarkEnd w:id="48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8"/>
        <w:gridCol w:w="1195"/>
        <w:gridCol w:w="921"/>
        <w:gridCol w:w="922"/>
        <w:gridCol w:w="1391"/>
        <w:gridCol w:w="1195"/>
        <w:gridCol w:w="1260"/>
        <w:gridCol w:w="1431"/>
      </w:tblGrid>
      <w:tr w:rsidR="00776104" w:rsidRPr="00F17E3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4430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8.860.000,00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140.000,00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4500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9.000.000,00</w:t>
            </w:r>
          </w:p>
        </w:tc>
      </w:tr>
    </w:tbl>
    <w:p w:rsidR="00121028" w:rsidRDefault="00976E68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BF36FE" w:rsidRPr="00F17E37" w:rsidRDefault="00121028" w:rsidP="0077610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Iz centralnog registra  HOV je dostavljena knjiga  akcionara na dan 31.12.201</w:t>
      </w:r>
      <w:r w:rsidR="00CB13FB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.g.koja potvrđuje navedeno stanje</w:t>
      </w:r>
      <w:r w:rsidR="00371A1E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  Rezerve sigurnosti su usklađene sa osnovnim kap</w:t>
      </w:r>
      <w:r w:rsidR="00721466" w:rsidRPr="00F17E37">
        <w:rPr>
          <w:rFonts w:asciiTheme="majorHAnsi" w:hAnsiTheme="majorHAnsi"/>
          <w:bCs/>
        </w:rPr>
        <w:t>italom u  iznosu od  900.000KM.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18(AOP 118)</w:t>
      </w:r>
    </w:p>
    <w:p w:rsidR="00776104" w:rsidRPr="00F17E37" w:rsidRDefault="00776104" w:rsidP="009B2B1A">
      <w:pPr>
        <w:pStyle w:val="Heading2"/>
        <w:spacing w:after="0"/>
      </w:pPr>
      <w:bookmarkStart w:id="49" w:name="_Toc507483690"/>
      <w:r w:rsidRPr="00F17E37">
        <w:t>Revalorizacione rezerve</w:t>
      </w:r>
      <w:bookmarkEnd w:id="49"/>
    </w:p>
    <w:p w:rsidR="00BF36FE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41E15" w:rsidRPr="00F17E37">
        <w:rPr>
          <w:rFonts w:asciiTheme="majorHAnsi" w:hAnsiTheme="majorHAnsi"/>
          <w:bCs/>
        </w:rPr>
        <w:t xml:space="preserve">        </w:t>
      </w:r>
      <w:r w:rsidRPr="00F17E37">
        <w:rPr>
          <w:rFonts w:asciiTheme="majorHAnsi" w:hAnsiTheme="majorHAnsi"/>
          <w:bCs/>
        </w:rPr>
        <w:t>Revalorizacione rezerve Društva</w:t>
      </w:r>
      <w:r w:rsidR="00FA7BB8" w:rsidRPr="00F17E37">
        <w:rPr>
          <w:rFonts w:asciiTheme="majorHAnsi" w:hAnsiTheme="majorHAnsi"/>
          <w:bCs/>
        </w:rPr>
        <w:t xml:space="preserve"> u iznosu od 1.929.880,46 KM</w:t>
      </w:r>
      <w:r w:rsidRPr="00F17E37">
        <w:rPr>
          <w:rFonts w:asciiTheme="majorHAnsi" w:hAnsiTheme="majorHAnsi"/>
          <w:bCs/>
        </w:rPr>
        <w:t xml:space="preserve"> su nastale po osnovu</w:t>
      </w:r>
      <w:r w:rsidR="006A7F70" w:rsidRPr="00F17E37">
        <w:rPr>
          <w:rFonts w:asciiTheme="majorHAnsi" w:hAnsiTheme="majorHAnsi"/>
          <w:bCs/>
        </w:rPr>
        <w:t xml:space="preserve"> procjene</w:t>
      </w:r>
      <w:r w:rsidRPr="00F17E37">
        <w:rPr>
          <w:rFonts w:asciiTheme="majorHAnsi" w:hAnsiTheme="majorHAnsi"/>
          <w:bCs/>
        </w:rPr>
        <w:t xml:space="preserve"> građevinskih</w:t>
      </w:r>
      <w:r w:rsidR="00AD44A2" w:rsidRPr="00F17E37">
        <w:rPr>
          <w:rFonts w:asciiTheme="majorHAnsi" w:hAnsiTheme="majorHAnsi"/>
          <w:bCs/>
        </w:rPr>
        <w:t xml:space="preserve"> objekata</w:t>
      </w:r>
      <w:r w:rsidR="00926EBA" w:rsidRPr="00F17E37">
        <w:rPr>
          <w:rFonts w:asciiTheme="majorHAnsi" w:hAnsiTheme="majorHAnsi"/>
          <w:bCs/>
        </w:rPr>
        <w:t>.</w:t>
      </w:r>
      <w:r w:rsidR="006A7F70" w:rsidRPr="00F17E37">
        <w:rPr>
          <w:rFonts w:asciiTheme="majorHAnsi" w:hAnsiTheme="majorHAnsi"/>
          <w:bCs/>
        </w:rPr>
        <w:t>Tokom godin</w:t>
      </w:r>
      <w:r w:rsidR="00FA7BB8" w:rsidRPr="00F17E37">
        <w:rPr>
          <w:rFonts w:asciiTheme="majorHAnsi" w:hAnsiTheme="majorHAnsi"/>
          <w:bCs/>
        </w:rPr>
        <w:t>a vršena je ispravka rev</w:t>
      </w:r>
      <w:r w:rsidR="00AD44A2" w:rsidRPr="00F17E37">
        <w:rPr>
          <w:rFonts w:asciiTheme="majorHAnsi" w:hAnsiTheme="majorHAnsi"/>
          <w:bCs/>
        </w:rPr>
        <w:t xml:space="preserve">alorizacionih </w:t>
      </w:r>
      <w:r w:rsidR="00FA7BB8" w:rsidRPr="00F17E37">
        <w:rPr>
          <w:rFonts w:asciiTheme="majorHAnsi" w:hAnsiTheme="majorHAnsi"/>
          <w:bCs/>
        </w:rPr>
        <w:t xml:space="preserve">rezervi </w:t>
      </w:r>
      <w:r w:rsidR="006A7F70" w:rsidRPr="00F17E37">
        <w:rPr>
          <w:rFonts w:asciiTheme="majorHAnsi" w:hAnsiTheme="majorHAnsi"/>
          <w:bCs/>
        </w:rPr>
        <w:t xml:space="preserve"> u korist ne raspoređene dobiti kao razlika u obračunu amortizacije po nabavnoj i po rev</w:t>
      </w:r>
      <w:r w:rsidR="00AD44A2" w:rsidRPr="00F17E37">
        <w:rPr>
          <w:rFonts w:asciiTheme="majorHAnsi" w:hAnsiTheme="majorHAnsi"/>
          <w:bCs/>
        </w:rPr>
        <w:t xml:space="preserve">alorizovanoj </w:t>
      </w:r>
      <w:r w:rsidR="006A7F70" w:rsidRPr="00F17E37">
        <w:rPr>
          <w:rFonts w:asciiTheme="majorHAnsi" w:hAnsiTheme="majorHAnsi"/>
          <w:bCs/>
        </w:rPr>
        <w:t>vrijednosti.Za 2017.g. u neraspore</w:t>
      </w:r>
      <w:r w:rsidR="00FA7BB8" w:rsidRPr="00F17E37">
        <w:rPr>
          <w:rFonts w:asciiTheme="majorHAnsi" w:hAnsiTheme="majorHAnsi"/>
          <w:bCs/>
        </w:rPr>
        <w:t>đ</w:t>
      </w:r>
      <w:r w:rsidR="006A7F70" w:rsidRPr="00F17E37">
        <w:rPr>
          <w:rFonts w:asciiTheme="majorHAnsi" w:hAnsiTheme="majorHAnsi"/>
          <w:bCs/>
        </w:rPr>
        <w:t>enu dobit je knjiženo 90.743,26 KM.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19(AOP 121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9B2B1A">
      <w:pPr>
        <w:pStyle w:val="Heading2"/>
        <w:spacing w:after="0"/>
      </w:pPr>
      <w:bookmarkStart w:id="50" w:name="_Toc507483691"/>
      <w:r w:rsidRPr="00F17E37">
        <w:t>Neraspoređena dobit</w:t>
      </w:r>
      <w:bookmarkEnd w:id="50"/>
    </w:p>
    <w:p w:rsidR="00776104" w:rsidRPr="00F17E37" w:rsidRDefault="00141E15" w:rsidP="001F54BB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  <w:r w:rsidR="00776104" w:rsidRPr="00F17E37">
        <w:rPr>
          <w:rFonts w:asciiTheme="majorHAnsi" w:hAnsiTheme="majorHAnsi"/>
          <w:bCs/>
        </w:rPr>
        <w:t xml:space="preserve">Neraspoređene dobit Društva u iznosu od </w:t>
      </w:r>
      <w:r w:rsidR="00FA337D" w:rsidRPr="00F17E37">
        <w:rPr>
          <w:rFonts w:asciiTheme="majorHAnsi" w:hAnsiTheme="majorHAnsi"/>
          <w:bCs/>
        </w:rPr>
        <w:t>8.</w:t>
      </w:r>
      <w:r w:rsidR="003F78D6" w:rsidRPr="00F17E37">
        <w:rPr>
          <w:rFonts w:asciiTheme="majorHAnsi" w:hAnsiTheme="majorHAnsi"/>
          <w:bCs/>
        </w:rPr>
        <w:t>260.152,10</w:t>
      </w:r>
      <w:r w:rsidR="00776104" w:rsidRPr="00F17E37">
        <w:rPr>
          <w:rFonts w:asciiTheme="majorHAnsi" w:hAnsiTheme="majorHAnsi"/>
          <w:bCs/>
        </w:rPr>
        <w:t xml:space="preserve"> se sastoji iz:</w:t>
      </w:r>
    </w:p>
    <w:p w:rsidR="00776104" w:rsidRPr="00F17E37" w:rsidRDefault="00776104" w:rsidP="00E51992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1.Neraspoređena dobit iz ranijih godina </w:t>
      </w:r>
      <w:r w:rsidR="003F78D6" w:rsidRPr="00F17E37">
        <w:rPr>
          <w:rFonts w:asciiTheme="majorHAnsi" w:hAnsiTheme="majorHAnsi"/>
          <w:bCs/>
        </w:rPr>
        <w:t>545.001,19</w:t>
      </w:r>
      <w:r w:rsidRPr="00F17E37">
        <w:rPr>
          <w:rFonts w:asciiTheme="majorHAnsi" w:hAnsiTheme="majorHAnsi"/>
          <w:bCs/>
        </w:rPr>
        <w:t>.</w:t>
      </w:r>
    </w:p>
    <w:p w:rsidR="00AD44A2" w:rsidRPr="00F17E37" w:rsidRDefault="00AD44A2" w:rsidP="00E51992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E51992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2.Neraspoređena dobit kroz bilans stanja ,nastala ukidanjem rev. rezervi </w:t>
      </w:r>
      <w:r w:rsidR="003F78D6" w:rsidRPr="00F17E37">
        <w:rPr>
          <w:rFonts w:asciiTheme="majorHAnsi" w:hAnsiTheme="majorHAnsi"/>
          <w:bCs/>
        </w:rPr>
        <w:t>90.743,26 KM</w:t>
      </w:r>
      <w:r w:rsidRPr="00F17E37">
        <w:rPr>
          <w:rFonts w:asciiTheme="majorHAnsi" w:hAnsiTheme="majorHAnsi"/>
          <w:bCs/>
        </w:rPr>
        <w:t xml:space="preserve"> i</w:t>
      </w:r>
    </w:p>
    <w:p w:rsidR="00AD44A2" w:rsidRPr="00F17E37" w:rsidRDefault="00AD44A2" w:rsidP="00E51992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BF36FE" w:rsidRPr="00F17E37" w:rsidRDefault="00776104" w:rsidP="00E51992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3.Neraspoređena dobit ostvarena iz redovne djelatnosti u iznosu od 7.</w:t>
      </w:r>
      <w:r w:rsidR="003F78D6" w:rsidRPr="00F17E37">
        <w:rPr>
          <w:rFonts w:asciiTheme="majorHAnsi" w:hAnsiTheme="majorHAnsi"/>
          <w:bCs/>
        </w:rPr>
        <w:t>624.407,65KM</w:t>
      </w:r>
      <w:r w:rsidRPr="00F17E37">
        <w:rPr>
          <w:rFonts w:asciiTheme="majorHAnsi" w:hAnsiTheme="majorHAnsi"/>
          <w:bCs/>
        </w:rPr>
        <w:t>.</w:t>
      </w:r>
    </w:p>
    <w:p w:rsidR="009B2B1A" w:rsidRDefault="009B2B1A" w:rsidP="00470611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15321E" w:rsidRPr="00F17E37" w:rsidRDefault="00776104" w:rsidP="00470611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20(AOP127</w:t>
      </w:r>
      <w:r w:rsidRPr="00F17E37">
        <w:rPr>
          <w:rFonts w:asciiTheme="majorHAnsi" w:hAnsiTheme="majorHAnsi"/>
          <w:bCs/>
        </w:rPr>
        <w:t>)</w:t>
      </w:r>
    </w:p>
    <w:p w:rsidR="00776104" w:rsidRPr="00F17E37" w:rsidRDefault="00776104" w:rsidP="009B2B1A">
      <w:pPr>
        <w:pStyle w:val="Heading2"/>
        <w:spacing w:after="0"/>
      </w:pPr>
      <w:bookmarkStart w:id="51" w:name="_Toc507483692"/>
      <w:r w:rsidRPr="00F17E37">
        <w:t>Primanja zaposlenih</w:t>
      </w:r>
      <w:bookmarkEnd w:id="51"/>
    </w:p>
    <w:p w:rsidR="00776104" w:rsidRPr="00F17E37" w:rsidRDefault="00141E15" w:rsidP="00924616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A36658" w:rsidRPr="00F17E37">
        <w:rPr>
          <w:rFonts w:asciiTheme="majorHAnsi" w:hAnsiTheme="majorHAnsi"/>
          <w:bCs/>
        </w:rPr>
        <w:t>72.913,99KM</w:t>
      </w:r>
      <w:r w:rsidR="00776104" w:rsidRPr="00F17E37">
        <w:rPr>
          <w:rFonts w:asciiTheme="majorHAnsi" w:hAnsiTheme="majorHAnsi"/>
          <w:bCs/>
        </w:rPr>
        <w:t xml:space="preserve">.U odnosu na  predhodnu godinu  iznos je </w:t>
      </w:r>
      <w:r w:rsidR="00A36658" w:rsidRPr="00F17E37">
        <w:rPr>
          <w:rFonts w:asciiTheme="majorHAnsi" w:hAnsiTheme="majorHAnsi"/>
          <w:bCs/>
        </w:rPr>
        <w:t>uvećan</w:t>
      </w:r>
      <w:r w:rsidR="00776104" w:rsidRPr="00F17E37">
        <w:rPr>
          <w:rFonts w:asciiTheme="majorHAnsi" w:hAnsiTheme="majorHAnsi"/>
          <w:bCs/>
        </w:rPr>
        <w:t xml:space="preserve">  za </w:t>
      </w:r>
      <w:r w:rsidR="00A36658" w:rsidRPr="00F17E37">
        <w:rPr>
          <w:rFonts w:asciiTheme="majorHAnsi" w:hAnsiTheme="majorHAnsi"/>
          <w:bCs/>
        </w:rPr>
        <w:t>8.359,66KM</w:t>
      </w:r>
      <w:r w:rsidR="00776104" w:rsidRPr="00F17E37">
        <w:rPr>
          <w:rFonts w:asciiTheme="majorHAnsi" w:hAnsiTheme="majorHAnsi"/>
          <w:bCs/>
        </w:rPr>
        <w:t xml:space="preserve"> koliko su</w:t>
      </w:r>
      <w:r w:rsidR="00721466" w:rsidRPr="00F17E37">
        <w:rPr>
          <w:rFonts w:asciiTheme="majorHAnsi" w:hAnsiTheme="majorHAnsi"/>
          <w:bCs/>
        </w:rPr>
        <w:t xml:space="preserve"> i</w:t>
      </w:r>
      <w:r w:rsidR="00776104" w:rsidRPr="00F17E37">
        <w:rPr>
          <w:rFonts w:asciiTheme="majorHAnsi" w:hAnsiTheme="majorHAnsi"/>
          <w:bCs/>
        </w:rPr>
        <w:t xml:space="preserve"> </w:t>
      </w:r>
      <w:r w:rsidR="00A36658" w:rsidRPr="00F17E37">
        <w:rPr>
          <w:rFonts w:asciiTheme="majorHAnsi" w:hAnsiTheme="majorHAnsi"/>
          <w:bCs/>
        </w:rPr>
        <w:t>terećeni troškovi rezervisanja.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21(AOP160)</w:t>
      </w:r>
    </w:p>
    <w:p w:rsidR="00776104" w:rsidRPr="00F17E37" w:rsidRDefault="00776104" w:rsidP="009B2B1A">
      <w:pPr>
        <w:pStyle w:val="Heading2"/>
        <w:spacing w:after="0"/>
      </w:pPr>
      <w:bookmarkStart w:id="52" w:name="_Toc507483693"/>
      <w:r w:rsidRPr="00F17E37">
        <w:t>Obaveze za premiju i specifične obaveze</w:t>
      </w:r>
      <w:bookmarkEnd w:id="52"/>
    </w:p>
    <w:p w:rsidR="00776104" w:rsidRPr="00F17E37" w:rsidRDefault="00B40EC7" w:rsidP="00B40EC7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Obaveze po osnovu specifičnih odnosa su obaveze prema reosiguravačima</w:t>
      </w:r>
      <w:r w:rsidR="00776104" w:rsidRPr="00F17E37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8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200"/>
        <w:gridCol w:w="363"/>
        <w:gridCol w:w="1508"/>
        <w:gridCol w:w="152"/>
        <w:gridCol w:w="1108"/>
        <w:gridCol w:w="152"/>
      </w:tblGrid>
      <w:tr w:rsidR="00776104" w:rsidRPr="00F17E37" w:rsidTr="00FD7E2E">
        <w:trPr>
          <w:gridAfter w:val="1"/>
          <w:wAfter w:w="147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1D6BBF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1D6BBF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FD7E2E">
        <w:trPr>
          <w:gridAfter w:val="1"/>
          <w:wAfter w:w="147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41.293,26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12.294,87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FD7E2E">
        <w:trPr>
          <w:gridAfter w:val="1"/>
          <w:wAfter w:w="147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101.373,22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121.068,53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FD7E2E">
        <w:trPr>
          <w:gridAfter w:val="1"/>
          <w:wAfter w:w="147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Reosiguranje transporta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447,83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6.343,05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FD7E2E">
        <w:trPr>
          <w:gridAfter w:val="1"/>
          <w:wAfter w:w="147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Reosiguranje imovine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10.083,13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22.166,33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FD7E2E">
        <w:trPr>
          <w:gridAfter w:val="1"/>
          <w:wAfter w:w="14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153.197,44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6BBF" w:rsidP="00AD44A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161.872,78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FD7E2E">
        <w:trPr>
          <w:trHeight w:val="300"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F3" w:rsidRPr="00F17E37" w:rsidRDefault="004508F3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:rsidR="00776104" w:rsidRPr="00F17E37" w:rsidRDefault="00BF36FE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201</w:t>
            </w:r>
            <w:r w:rsidR="00BC6C3F" w:rsidRPr="00F17E37">
              <w:rPr>
                <w:rFonts w:asciiTheme="majorHAnsi" w:hAnsiTheme="majorHAnsi"/>
                <w:color w:val="000000"/>
              </w:rPr>
              <w:t>7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BF36FE" w:rsidRPr="00F17E37" w:rsidTr="00FD7E2E">
        <w:trPr>
          <w:trHeight w:val="300"/>
        </w:trPr>
        <w:tc>
          <w:tcPr>
            <w:tcW w:w="6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FE" w:rsidRPr="00F17E37" w:rsidRDefault="00BF36FE" w:rsidP="00FD7E2E">
            <w:pPr>
              <w:spacing w:after="0"/>
              <w:ind w:left="-57" w:right="-37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1.Kvotni ugovor o reosiguranju transporta sa Bosna Re d.d. Sarajevo.               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FE" w:rsidRPr="00F17E37" w:rsidRDefault="00BF36FE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6FE" w:rsidRPr="00F17E37" w:rsidRDefault="00BF36FE" w:rsidP="00FD7E2E">
            <w:pPr>
              <w:spacing w:after="0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FD7E2E">
        <w:trPr>
          <w:trHeight w:val="300"/>
        </w:trPr>
        <w:tc>
          <w:tcPr>
            <w:tcW w:w="8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>2.Reosiguranje viška štete domaće autoodgovornosti sa Bosna Re d.d.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FD7E2E">
        <w:trPr>
          <w:trHeight w:val="300"/>
        </w:trPr>
        <w:tc>
          <w:tcPr>
            <w:tcW w:w="81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>3.Reosiguranje viška štete za zelenu kartu sa Biroom zelene karte BiH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:rsidTr="00FD7E2E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FD7E2E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>5.Kvotno-ekscedentni ugovor o reosiguranju imovinskih rizika sa Bosna Re d.d.Sarajevo.</w:t>
            </w:r>
          </w:p>
          <w:p w:rsidR="0015321E" w:rsidRPr="00F17E37" w:rsidRDefault="00E04CC2" w:rsidP="00D603A3">
            <w:pPr>
              <w:spacing w:after="0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>6.</w:t>
            </w:r>
            <w:r w:rsidR="00D603A3">
              <w:rPr>
                <w:rFonts w:asciiTheme="majorHAnsi" w:hAnsiTheme="majorHAnsi"/>
                <w:color w:val="000000"/>
              </w:rPr>
              <w:t xml:space="preserve"> Kvotni u</w:t>
            </w:r>
            <w:r w:rsidRPr="00F17E37">
              <w:rPr>
                <w:rFonts w:asciiTheme="majorHAnsi" w:hAnsiTheme="majorHAnsi"/>
                <w:color w:val="000000"/>
              </w:rPr>
              <w:t>govor o reosiguranju auto kaska sa Bosna Re d.d.Sarajevo</w:t>
            </w:r>
          </w:p>
        </w:tc>
      </w:tr>
    </w:tbl>
    <w:p w:rsidR="00776104" w:rsidRPr="00F17E37" w:rsidRDefault="00510A54" w:rsidP="00FD7E2E">
      <w:pPr>
        <w:spacing w:after="0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Obaveze prema reosiguravačima su usaglašene sa 31.12.201</w:t>
      </w:r>
      <w:r w:rsidR="00E04CC2" w:rsidRPr="00F17E37">
        <w:rPr>
          <w:rFonts w:asciiTheme="majorHAnsi" w:hAnsiTheme="majorHAnsi"/>
          <w:bCs/>
        </w:rPr>
        <w:t>7</w:t>
      </w:r>
      <w:r w:rsidR="00776104" w:rsidRPr="00F17E37">
        <w:rPr>
          <w:rFonts w:asciiTheme="majorHAnsi" w:hAnsiTheme="majorHAnsi"/>
          <w:bCs/>
        </w:rPr>
        <w:t>.g.putem IOS-a</w:t>
      </w:r>
      <w:r w:rsidR="0015321E" w:rsidRPr="00F17E37">
        <w:rPr>
          <w:rFonts w:asciiTheme="majorHAnsi" w:hAnsiTheme="majorHAnsi"/>
          <w:bCs/>
        </w:rPr>
        <w:t>.</w:t>
      </w:r>
    </w:p>
    <w:p w:rsidR="00757B4E" w:rsidRPr="00F17E37" w:rsidRDefault="00757B4E" w:rsidP="00757B4E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C1597A" w:rsidRDefault="00C1597A" w:rsidP="00776104">
      <w:pPr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22(AOP 161-167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F17E37" w:rsidRDefault="00776104" w:rsidP="009B2B1A">
      <w:pPr>
        <w:pStyle w:val="Heading2"/>
        <w:spacing w:after="0"/>
      </w:pPr>
      <w:bookmarkStart w:id="53" w:name="_Toc507483694"/>
      <w:r w:rsidRPr="00F17E37">
        <w:t>Kratkoročne obaveze</w:t>
      </w:r>
      <w:bookmarkEnd w:id="53"/>
    </w:p>
    <w:p w:rsidR="00776104" w:rsidRPr="00F17E37" w:rsidRDefault="00BF36FE" w:rsidP="00434D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 primljene avanse,prema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573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1323"/>
      </w:tblGrid>
      <w:tr w:rsidR="00776104" w:rsidRPr="00F17E37" w:rsidTr="00C93CB7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34B5E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2B7702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2B7702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:rsidTr="00C93CB7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0773C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559,87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1.551.54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O36</w:t>
            </w:r>
          </w:p>
        </w:tc>
      </w:tr>
      <w:tr w:rsidR="00776104" w:rsidRPr="00F17E37" w:rsidTr="00C93CB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0773C7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58.</w:t>
            </w:r>
            <w:r w:rsidR="00C93CB7"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586,71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93.116,23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O63</w:t>
            </w:r>
          </w:p>
        </w:tc>
      </w:tr>
      <w:tr w:rsidR="00776104" w:rsidRPr="00F17E37" w:rsidTr="00C93CB7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D17E7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54.254,77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29.424,54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184</w:t>
            </w:r>
          </w:p>
        </w:tc>
      </w:tr>
      <w:tr w:rsidR="00776104" w:rsidRPr="00F17E37" w:rsidTr="00C93CB7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7333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442.815,12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394.667,34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112</w:t>
            </w:r>
          </w:p>
        </w:tc>
      </w:tr>
      <w:tr w:rsidR="00776104" w:rsidRPr="00F17E37" w:rsidTr="00C93CB7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0773C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6.291,36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5.832,62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108</w:t>
            </w:r>
          </w:p>
        </w:tc>
      </w:tr>
      <w:tr w:rsidR="000773C7" w:rsidRPr="00F17E37" w:rsidTr="00C93CB7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dividendu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27333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</w:tr>
      <w:tr w:rsidR="00776104" w:rsidRPr="00F17E37" w:rsidTr="00C93CB7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Ostali doprinosi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07B" w:rsidRPr="00F17E37" w:rsidRDefault="00AD17E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36.471,49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194.123,72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019</w:t>
            </w:r>
          </w:p>
        </w:tc>
      </w:tr>
      <w:tr w:rsidR="00776104" w:rsidRPr="00F17E37" w:rsidTr="00C93CB7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73339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1.</w:t>
            </w:r>
            <w:r w:rsidR="00C93CB7"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635.596,15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2B7702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718.715,99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D70AE" w:rsidP="008E5AE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22</w:t>
            </w:r>
            <w:r w:rsidR="008E5AE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</w:p>
        </w:tc>
      </w:tr>
    </w:tbl>
    <w:p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:rsidR="00776104" w:rsidRPr="00F17E37" w:rsidRDefault="00AB3384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99063F" w:rsidRPr="00F17E37">
        <w:rPr>
          <w:rFonts w:asciiTheme="majorHAnsi" w:hAnsiTheme="majorHAnsi"/>
          <w:bCs/>
        </w:rPr>
        <w:t xml:space="preserve">  </w:t>
      </w:r>
      <w:r w:rsidR="005B45D3" w:rsidRPr="00F17E37">
        <w:rPr>
          <w:rFonts w:asciiTheme="majorHAnsi" w:hAnsiTheme="majorHAnsi"/>
          <w:bCs/>
        </w:rPr>
        <w:t xml:space="preserve">Kratkoročne obaveze  u iznosu od </w:t>
      </w:r>
      <w:r w:rsidR="00F32DBA" w:rsidRPr="00F17E37">
        <w:rPr>
          <w:rFonts w:asciiTheme="majorHAnsi" w:hAnsiTheme="majorHAnsi"/>
          <w:bCs/>
        </w:rPr>
        <w:t>1.635.596,15</w:t>
      </w:r>
      <w:r w:rsidR="005B45D3" w:rsidRPr="00F17E37">
        <w:rPr>
          <w:rFonts w:asciiTheme="majorHAnsi" w:hAnsiTheme="majorHAnsi"/>
          <w:bCs/>
        </w:rPr>
        <w:t xml:space="preserve"> KM su </w:t>
      </w:r>
      <w:r w:rsidR="00F32DBA" w:rsidRPr="00F17E37">
        <w:rPr>
          <w:rFonts w:asciiTheme="majorHAnsi" w:hAnsiTheme="majorHAnsi"/>
          <w:bCs/>
        </w:rPr>
        <w:t>veće</w:t>
      </w:r>
      <w:r w:rsidR="005B45D3" w:rsidRPr="00F17E37">
        <w:rPr>
          <w:rFonts w:asciiTheme="majorHAnsi" w:hAnsiTheme="majorHAnsi"/>
          <w:bCs/>
        </w:rPr>
        <w:t xml:space="preserve"> u odnosu </w:t>
      </w:r>
      <w:r w:rsidR="00B2267B" w:rsidRPr="00F17E37">
        <w:rPr>
          <w:rFonts w:asciiTheme="majorHAnsi" w:hAnsiTheme="majorHAnsi"/>
          <w:bCs/>
        </w:rPr>
        <w:t xml:space="preserve">na predhodnu godinu za </w:t>
      </w:r>
      <w:r w:rsidR="00F32DBA" w:rsidRPr="00F17E37">
        <w:rPr>
          <w:rFonts w:asciiTheme="majorHAnsi" w:hAnsiTheme="majorHAnsi"/>
          <w:bCs/>
        </w:rPr>
        <w:t>128</w:t>
      </w:r>
      <w:r w:rsidR="00B2267B" w:rsidRPr="00F17E37">
        <w:rPr>
          <w:rFonts w:asciiTheme="majorHAnsi" w:hAnsiTheme="majorHAnsi"/>
          <w:bCs/>
        </w:rPr>
        <w:t>%.</w:t>
      </w:r>
      <w:r w:rsidR="00776104" w:rsidRPr="00F17E37">
        <w:rPr>
          <w:rFonts w:asciiTheme="majorHAnsi" w:hAnsiTheme="majorHAnsi"/>
          <w:bCs/>
        </w:rPr>
        <w:t xml:space="preserve">Najveću stavku u obavezama ima obaveza za porez na dobit formirana kroz konačni </w:t>
      </w:r>
      <w:r w:rsidR="005B45D3" w:rsidRPr="00F17E37">
        <w:rPr>
          <w:rFonts w:asciiTheme="majorHAnsi" w:hAnsiTheme="majorHAnsi"/>
          <w:bCs/>
        </w:rPr>
        <w:t xml:space="preserve">obračun </w:t>
      </w:r>
      <w:r w:rsidR="00776104" w:rsidRPr="00F17E37">
        <w:rPr>
          <w:rFonts w:asciiTheme="majorHAnsi" w:hAnsiTheme="majorHAnsi"/>
          <w:bCs/>
        </w:rPr>
        <w:t>poresk</w:t>
      </w:r>
      <w:r w:rsidR="005B45D3" w:rsidRPr="00F17E37">
        <w:rPr>
          <w:rFonts w:asciiTheme="majorHAnsi" w:hAnsiTheme="majorHAnsi"/>
          <w:bCs/>
        </w:rPr>
        <w:t>og bilan</w:t>
      </w:r>
      <w:r w:rsidR="00F32DBA" w:rsidRPr="00F17E37">
        <w:rPr>
          <w:rFonts w:asciiTheme="majorHAnsi" w:hAnsiTheme="majorHAnsi"/>
          <w:bCs/>
        </w:rPr>
        <w:t>s</w:t>
      </w:r>
      <w:r w:rsidR="005B45D3" w:rsidRPr="00F17E37">
        <w:rPr>
          <w:rFonts w:asciiTheme="majorHAnsi" w:hAnsiTheme="majorHAnsi"/>
          <w:bCs/>
        </w:rPr>
        <w:t>a</w:t>
      </w:r>
      <w:r w:rsidR="00F32DBA" w:rsidRPr="00F17E37">
        <w:rPr>
          <w:rFonts w:asciiTheme="majorHAnsi" w:hAnsiTheme="majorHAnsi"/>
          <w:bCs/>
        </w:rPr>
        <w:t xml:space="preserve"> i obaveza po osnovu ne isplaćene dividende akcionarima.</w:t>
      </w:r>
      <w:r w:rsidR="002B77F0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                  </w:t>
      </w:r>
      <w:r w:rsidR="00776104" w:rsidRPr="00F17E37">
        <w:rPr>
          <w:rFonts w:asciiTheme="majorHAnsi" w:hAnsiTheme="majorHAnsi"/>
          <w:bCs/>
        </w:rPr>
        <w:t xml:space="preserve"> Po osnovu Zakona o obaveznim osiguranjima u saobraćaju </w:t>
      </w:r>
      <w:r w:rsidR="00322F48">
        <w:rPr>
          <w:rFonts w:asciiTheme="majorHAnsi" w:hAnsiTheme="majorHAnsi"/>
          <w:bCs/>
        </w:rPr>
        <w:t>za zadnji kvartal 2017.g.je izdvojeno 36.471,49 KM dodatnih sredstava preventive.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Obaveze prema dobavljačima su usaglašavane putem IOS-a.Ukupno je došlo i usaglašeno </w:t>
      </w:r>
      <w:r w:rsidR="00451D5E" w:rsidRPr="00F17E37">
        <w:rPr>
          <w:rFonts w:asciiTheme="majorHAnsi" w:hAnsiTheme="majorHAnsi"/>
          <w:bCs/>
        </w:rPr>
        <w:t>75</w:t>
      </w:r>
      <w:r w:rsidRPr="00F17E37">
        <w:rPr>
          <w:rFonts w:asciiTheme="majorHAnsi" w:hAnsiTheme="majorHAnsi"/>
          <w:bCs/>
        </w:rPr>
        <w:t xml:space="preserve"> </w:t>
      </w:r>
      <w:r w:rsidR="007F0519" w:rsidRPr="00F17E37">
        <w:rPr>
          <w:rFonts w:asciiTheme="majorHAnsi" w:hAnsiTheme="majorHAnsi"/>
          <w:bCs/>
        </w:rPr>
        <w:t>I</w:t>
      </w:r>
      <w:r w:rsidR="00F463D1" w:rsidRPr="00F17E37">
        <w:rPr>
          <w:rFonts w:asciiTheme="majorHAnsi" w:hAnsiTheme="majorHAnsi"/>
          <w:bCs/>
        </w:rPr>
        <w:t>OS-</w:t>
      </w:r>
      <w:r w:rsidRPr="00F17E37">
        <w:rPr>
          <w:rFonts w:asciiTheme="majorHAnsi" w:hAnsiTheme="majorHAnsi"/>
          <w:bCs/>
        </w:rPr>
        <w:t>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23(AOP 170)</w:t>
      </w:r>
    </w:p>
    <w:p w:rsidR="00AB24C4" w:rsidRDefault="00776104" w:rsidP="00FD7E2E">
      <w:pPr>
        <w:pStyle w:val="Heading2"/>
        <w:spacing w:after="0"/>
      </w:pPr>
      <w:bookmarkStart w:id="54" w:name="_Toc475624866"/>
      <w:bookmarkStart w:id="55" w:name="_Toc507483695"/>
      <w:r w:rsidRPr="00F17E37">
        <w:t>Pasivna vremenska razgraničenja</w:t>
      </w:r>
      <w:bookmarkEnd w:id="54"/>
      <w:bookmarkEnd w:id="55"/>
      <w:r w:rsidR="00510A54" w:rsidRPr="00F17E37">
        <w:t xml:space="preserve"> </w:t>
      </w:r>
    </w:p>
    <w:p w:rsidR="00BD60C6" w:rsidRDefault="00BD60C6" w:rsidP="00AB24C4">
      <w:r>
        <w:t xml:space="preserve">    </w:t>
      </w:r>
    </w:p>
    <w:p w:rsidR="00776104" w:rsidRPr="00AB24C4" w:rsidRDefault="00AB24C4" w:rsidP="00AB24C4">
      <w:pPr>
        <w:rPr>
          <w:rFonts w:asciiTheme="majorHAnsi" w:hAnsiTheme="majorHAnsi"/>
          <w:b/>
        </w:rPr>
      </w:pPr>
      <w:r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362919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362919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139.578,13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128.074,26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11.503,87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7.535,23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5.842,36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1.692,87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373.375,83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308.503,53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64.872,30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 -transport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22.681,54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-22681,54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129.871,02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116.573,57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B94D0F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13.297,45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</w:t>
            </w:r>
            <w:r w:rsidR="00C12083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190,02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16.849,32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6.340,70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1D70B3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</w:t>
            </w:r>
            <w:r w:rsidR="00362919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.088.050,74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7.964.183,19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123.867,55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od opšte odgovor</w:t>
            </w:r>
            <w:r w:rsidR="001D70B3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nosi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3.632,07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1.769,11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1.862,96</w:t>
            </w:r>
          </w:p>
        </w:tc>
      </w:tr>
      <w:tr w:rsidR="00A0458A" w:rsidRPr="00F17E3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A0458A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Preno. prem. za odg.vlasika  za plovila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F17E37" w:rsidRDefault="00A0458A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97,59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A0458A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F17E37" w:rsidRDefault="00A0458A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F17E37" w:rsidRDefault="00A0458A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97,59</w:t>
            </w:r>
          </w:p>
        </w:tc>
      </w:tr>
      <w:tr w:rsidR="00C12083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10,72</w:t>
            </w:r>
          </w:p>
        </w:tc>
      </w:tr>
      <w:tr w:rsidR="00776104" w:rsidRPr="00F17E3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8.765.341,35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362919" w:rsidP="004508F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8.564.476,88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C12083" w:rsidP="004508F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200.864,47</w:t>
            </w:r>
          </w:p>
        </w:tc>
      </w:tr>
    </w:tbl>
    <w:p w:rsidR="004508F3" w:rsidRPr="00F17E37" w:rsidRDefault="009D781F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:rsidR="00DD206A" w:rsidRPr="00F17E37" w:rsidRDefault="004508F3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8.</w:t>
      </w:r>
      <w:r w:rsidR="00B94D0F" w:rsidRPr="00F17E37">
        <w:rPr>
          <w:rFonts w:asciiTheme="majorHAnsi" w:hAnsiTheme="majorHAnsi"/>
          <w:bCs/>
        </w:rPr>
        <w:t>765.341,35</w:t>
      </w:r>
      <w:r w:rsidR="00776104" w:rsidRPr="00F17E37">
        <w:rPr>
          <w:rFonts w:asciiTheme="majorHAnsi" w:hAnsiTheme="majorHAnsi"/>
          <w:bCs/>
        </w:rPr>
        <w:t xml:space="preserve"> KM,kao prihod za plaćanje budućih obaveza,metodom ,,pro rata temporis,, je automatski odrađena u premijskom programu Društva i u odnosu na predhodnu godinu je veća u iznosu od </w:t>
      </w:r>
      <w:r w:rsidR="00B94D0F" w:rsidRPr="00F17E37">
        <w:rPr>
          <w:rFonts w:asciiTheme="majorHAnsi" w:hAnsiTheme="majorHAnsi"/>
          <w:bCs/>
        </w:rPr>
        <w:t>200.864,47</w:t>
      </w:r>
      <w:r w:rsidR="00F22356" w:rsidRPr="00F17E37">
        <w:rPr>
          <w:rFonts w:asciiTheme="majorHAnsi" w:hAnsiTheme="majorHAnsi"/>
          <w:bCs/>
        </w:rPr>
        <w:t xml:space="preserve"> KM.</w:t>
      </w:r>
    </w:p>
    <w:p w:rsidR="00470611" w:rsidRDefault="00470611" w:rsidP="00776104">
      <w:pPr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24(AOP 173</w:t>
      </w:r>
      <w:r w:rsidRPr="00F17E37">
        <w:rPr>
          <w:rFonts w:asciiTheme="majorHAnsi" w:hAnsiTheme="majorHAnsi"/>
          <w:bCs/>
        </w:rPr>
        <w:t>)</w:t>
      </w:r>
    </w:p>
    <w:p w:rsidR="00776104" w:rsidRPr="00BD60C6" w:rsidRDefault="00776104" w:rsidP="00BD60C6">
      <w:pPr>
        <w:pStyle w:val="Heading2"/>
      </w:pPr>
      <w:bookmarkStart w:id="56" w:name="_Toc507483696"/>
      <w:r w:rsidRPr="00BD60C6">
        <w:t>Rezervacija šteta</w:t>
      </w:r>
      <w:r w:rsidR="002C79B8" w:rsidRPr="00BD60C6">
        <w:t xml:space="preserve"> neživotnih osiguranja</w:t>
      </w:r>
      <w:bookmarkEnd w:id="56"/>
    </w:p>
    <w:tbl>
      <w:tblPr>
        <w:tblpPr w:leftFromText="180" w:rightFromText="180" w:vertAnchor="text" w:tblpY="1"/>
        <w:tblOverlap w:val="never"/>
        <w:tblW w:w="9610" w:type="dxa"/>
        <w:tblLook w:val="04A0" w:firstRow="1" w:lastRow="0" w:firstColumn="1" w:lastColumn="0" w:noHBand="0" w:noVBand="1"/>
      </w:tblPr>
      <w:tblGrid>
        <w:gridCol w:w="2173"/>
        <w:gridCol w:w="311"/>
        <w:gridCol w:w="1195"/>
        <w:gridCol w:w="257"/>
        <w:gridCol w:w="528"/>
        <w:gridCol w:w="1619"/>
        <w:gridCol w:w="310"/>
        <w:gridCol w:w="1788"/>
        <w:gridCol w:w="1429"/>
      </w:tblGrid>
      <w:tr w:rsidR="00DF081C" w:rsidRPr="00F17E37" w:rsidTr="00817BEF">
        <w:trPr>
          <w:trHeight w:val="228"/>
        </w:trPr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1D70B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DF081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:rsidTr="00470611">
        <w:trPr>
          <w:trHeight w:val="274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45.463,19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52.607,81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C8" w:rsidRPr="00F17E37" w:rsidRDefault="006013C8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-7.144,62</w:t>
            </w:r>
          </w:p>
        </w:tc>
      </w:tr>
      <w:tr w:rsidR="00DF081C" w:rsidRPr="00F17E37" w:rsidTr="000935AB">
        <w:trPr>
          <w:trHeight w:val="228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8.627,77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1.640,51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  <w:r w:rsidR="001337A3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987,26</w:t>
            </w:r>
          </w:p>
        </w:tc>
      </w:tr>
      <w:tr w:rsidR="00DF081C" w:rsidRPr="00F17E37" w:rsidTr="006013C8">
        <w:trPr>
          <w:trHeight w:val="228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303.578,72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426.625,59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-12</w:t>
            </w:r>
            <w:r w:rsidR="003369D0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.046,87</w:t>
            </w:r>
          </w:p>
        </w:tc>
      </w:tr>
      <w:tr w:rsidR="00DF081C" w:rsidRPr="00F17E37" w:rsidTr="00733733">
        <w:trPr>
          <w:trHeight w:val="228"/>
        </w:trPr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šteta transport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166,53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6013C8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-16</w:t>
            </w:r>
            <w:r w:rsidR="009E19AE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,53</w:t>
            </w:r>
          </w:p>
        </w:tc>
      </w:tr>
      <w:tr w:rsidR="00DF081C" w:rsidRPr="00F17E37" w:rsidTr="00733733">
        <w:trPr>
          <w:trHeight w:val="228"/>
        </w:trPr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204.279,66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204.279,66</w:t>
            </w:r>
          </w:p>
        </w:tc>
      </w:tr>
      <w:tr w:rsidR="00DF081C" w:rsidRPr="00F17E37" w:rsidTr="006013C8">
        <w:trPr>
          <w:trHeight w:val="228"/>
        </w:trPr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1.587,48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1.479,32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108,16</w:t>
            </w:r>
          </w:p>
        </w:tc>
      </w:tr>
      <w:tr w:rsidR="00DF081C" w:rsidRPr="00F17E37" w:rsidTr="006013C8">
        <w:trPr>
          <w:trHeight w:val="228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8.205.496,25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7.615.342,26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590</w:t>
            </w:r>
            <w:r w:rsidR="00D124EF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153,99</w:t>
            </w:r>
          </w:p>
        </w:tc>
      </w:tr>
      <w:tr w:rsidR="00DF081C" w:rsidRPr="00F17E37" w:rsidTr="006013C8">
        <w:trPr>
          <w:trHeight w:val="228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607,42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607,42</w:t>
            </w:r>
          </w:p>
        </w:tc>
      </w:tr>
      <w:tr w:rsidR="00DF081C" w:rsidRPr="00F17E37" w:rsidTr="006013C8">
        <w:trPr>
          <w:trHeight w:val="228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8.769.640,49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8.097.862,02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4C33B9" w:rsidP="004508F3">
            <w:pPr>
              <w:spacing w:after="0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671.778,47</w:t>
            </w:r>
          </w:p>
        </w:tc>
      </w:tr>
    </w:tbl>
    <w:p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8.</w:t>
      </w:r>
      <w:r w:rsidR="004C33B9" w:rsidRPr="00F17E37">
        <w:rPr>
          <w:rFonts w:asciiTheme="majorHAnsi" w:hAnsiTheme="majorHAnsi"/>
          <w:bCs/>
        </w:rPr>
        <w:t>769.640,</w:t>
      </w:r>
      <w:r w:rsidR="00C941B7" w:rsidRPr="00F17E37">
        <w:rPr>
          <w:rFonts w:asciiTheme="majorHAnsi" w:hAnsiTheme="majorHAnsi"/>
          <w:bCs/>
        </w:rPr>
        <w:t>4</w:t>
      </w:r>
      <w:r w:rsidR="004C33B9" w:rsidRPr="00F17E37">
        <w:rPr>
          <w:rFonts w:asciiTheme="majorHAnsi" w:hAnsiTheme="majorHAnsi"/>
          <w:bCs/>
        </w:rPr>
        <w:t>9KM</w:t>
      </w:r>
      <w:r w:rsidR="00776104" w:rsidRPr="00F17E37">
        <w:rPr>
          <w:rFonts w:asciiTheme="majorHAnsi" w:hAnsiTheme="majorHAnsi"/>
          <w:bCs/>
        </w:rPr>
        <w:t xml:space="preserve"> je veća u odnosu na predhodnu godinu u iznosu od </w:t>
      </w:r>
      <w:r w:rsidR="004C33B9" w:rsidRPr="00F17E37">
        <w:rPr>
          <w:rFonts w:asciiTheme="majorHAnsi" w:hAnsiTheme="majorHAnsi"/>
          <w:bCs/>
        </w:rPr>
        <w:t>671.778,47KM</w:t>
      </w:r>
      <w:r w:rsidR="00776104" w:rsidRPr="00F17E37">
        <w:rPr>
          <w:rFonts w:asciiTheme="majorHAnsi" w:hAnsiTheme="majorHAnsi"/>
          <w:bCs/>
        </w:rPr>
        <w:t xml:space="preserve"> i knjižena je na troškove rez</w:t>
      </w:r>
      <w:r w:rsidR="00924616" w:rsidRPr="00F17E37">
        <w:rPr>
          <w:rFonts w:asciiTheme="majorHAnsi" w:hAnsiTheme="majorHAnsi"/>
          <w:bCs/>
        </w:rPr>
        <w:t xml:space="preserve">ervacije šteta.                                                                                                                                                                  </w:t>
      </w:r>
      <w:r w:rsidR="0099063F" w:rsidRPr="00F17E37">
        <w:rPr>
          <w:rFonts w:asciiTheme="majorHAnsi" w:hAnsiTheme="majorHAnsi"/>
          <w:bCs/>
        </w:rPr>
        <w:t xml:space="preserve">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                      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Navedena </w:t>
      </w:r>
      <w:r w:rsidR="00776104" w:rsidRPr="00F17E37">
        <w:rPr>
          <w:rFonts w:asciiTheme="majorHAnsi" w:hAnsiTheme="majorHAnsi"/>
          <w:bCs/>
        </w:rPr>
        <w:t>rezervacija je urađena za :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1570E9" w:rsidRPr="00F17E37">
        <w:rPr>
          <w:rFonts w:asciiTheme="majorHAnsi" w:hAnsiTheme="majorHAnsi"/>
          <w:bCs/>
        </w:rPr>
        <w:t>5.622.652,66KM</w:t>
      </w:r>
      <w:r w:rsidRPr="00F17E37">
        <w:rPr>
          <w:rFonts w:asciiTheme="majorHAnsi" w:hAnsiTheme="majorHAnsi"/>
          <w:bCs/>
        </w:rPr>
        <w:t xml:space="preserve"> i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Rezervacija za nastale  a do 31.12.201</w:t>
      </w:r>
      <w:r w:rsidR="004C33B9" w:rsidRPr="00F17E37">
        <w:rPr>
          <w:rFonts w:asciiTheme="majorHAnsi" w:hAnsiTheme="majorHAnsi"/>
          <w:bCs/>
        </w:rPr>
        <w:t>7</w:t>
      </w:r>
      <w:r w:rsidRPr="00F17E37">
        <w:rPr>
          <w:rFonts w:asciiTheme="majorHAnsi" w:hAnsiTheme="majorHAnsi"/>
          <w:bCs/>
        </w:rPr>
        <w:t>.g.ne prijavljene štete u iznosu 3</w:t>
      </w:r>
      <w:r w:rsidR="001570E9" w:rsidRPr="00F17E37">
        <w:rPr>
          <w:rFonts w:asciiTheme="majorHAnsi" w:hAnsiTheme="majorHAnsi"/>
          <w:bCs/>
        </w:rPr>
        <w:t>.146.987,8</w:t>
      </w:r>
      <w:r w:rsidR="00733733" w:rsidRPr="00F17E37">
        <w:rPr>
          <w:rFonts w:asciiTheme="majorHAnsi" w:hAnsiTheme="majorHAnsi"/>
          <w:bCs/>
        </w:rPr>
        <w:t>3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Rezervacija nastalih ne prijavljenih šteta za autoodgovornost,nezgodu i kasko je urađena metodom ulančanih ljestvica a rezervacija  šteta za putničko zdravstveno i za imovinu je urađena metodom na osnovu podataka o riješenim i rezervisanim(nastalim prijavljenim a ne riješenim)štetama.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25(AOP175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F17E37" w:rsidRDefault="00776104" w:rsidP="00C92FEA">
      <w:pPr>
        <w:pStyle w:val="Heading2"/>
        <w:spacing w:after="0"/>
      </w:pPr>
      <w:bookmarkStart w:id="57" w:name="_Toc507483697"/>
      <w:r w:rsidRPr="00F17E37">
        <w:t>Druga pasivna razgraničenja</w:t>
      </w:r>
      <w:bookmarkEnd w:id="57"/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F53739" w:rsidRPr="00F17E37">
        <w:rPr>
          <w:rFonts w:asciiTheme="majorHAnsi" w:hAnsiTheme="majorHAnsi"/>
          <w:bCs/>
        </w:rPr>
        <w:t>406.193,03KM</w:t>
      </w:r>
      <w:r w:rsidRPr="00F17E37">
        <w:rPr>
          <w:rFonts w:asciiTheme="majorHAnsi" w:hAnsiTheme="majorHAnsi"/>
          <w:bCs/>
        </w:rPr>
        <w:t xml:space="preserve"> se sastoje iz: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1.Doprinosa za preventivu u iznosu od 1.</w:t>
      </w:r>
      <w:r w:rsidR="00B61B69" w:rsidRPr="00F17E37">
        <w:rPr>
          <w:rFonts w:asciiTheme="majorHAnsi" w:hAnsiTheme="majorHAnsi"/>
          <w:bCs/>
        </w:rPr>
        <w:t>368.177,82KM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B61B69" w:rsidRPr="00F17E37">
        <w:rPr>
          <w:rFonts w:asciiTheme="majorHAnsi" w:hAnsiTheme="majorHAnsi"/>
          <w:bCs/>
        </w:rPr>
        <w:t>22.308,07KM</w:t>
      </w:r>
      <w:r w:rsidRPr="00F17E37">
        <w:rPr>
          <w:rFonts w:asciiTheme="majorHAnsi" w:hAnsiTheme="majorHAnsi"/>
          <w:bCs/>
        </w:rPr>
        <w:t>.</w:t>
      </w:r>
    </w:p>
    <w:p w:rsidR="00776104" w:rsidRPr="00F17E37" w:rsidRDefault="00776104" w:rsidP="0099063F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Doprinos za preventivu je formiran u skladu sa Pravilnikom o maksimalnim stopama režijskog dodatka.Njegova namjena i korištenje su određeni Pravilnikom o preventivi.</w:t>
      </w:r>
    </w:p>
    <w:p w:rsidR="00052885" w:rsidRDefault="00052885" w:rsidP="0099063F">
      <w:pPr>
        <w:spacing w:after="0"/>
        <w:jc w:val="both"/>
        <w:rPr>
          <w:rFonts w:asciiTheme="majorHAnsi" w:hAnsiTheme="majorHAnsi"/>
          <w:bCs/>
        </w:rPr>
      </w:pPr>
    </w:p>
    <w:p w:rsidR="00776104" w:rsidRPr="00F17E37" w:rsidRDefault="00776104" w:rsidP="0099063F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2.Razgraničeni prihodi po osnovu premije reosiguranja u iznosu od </w:t>
      </w:r>
      <w:r w:rsidR="00F53739" w:rsidRPr="00F17E37">
        <w:rPr>
          <w:rFonts w:asciiTheme="majorHAnsi" w:hAnsiTheme="majorHAnsi"/>
          <w:bCs/>
        </w:rPr>
        <w:t>38.015,21 KM.</w:t>
      </w:r>
    </w:p>
    <w:p w:rsidR="00F53739" w:rsidRPr="00F17E37" w:rsidRDefault="00F53739" w:rsidP="00DD206A">
      <w:pPr>
        <w:spacing w:after="0"/>
        <w:jc w:val="both"/>
        <w:rPr>
          <w:rFonts w:asciiTheme="majorHAnsi" w:hAnsiTheme="majorHAnsi"/>
          <w:bCs/>
        </w:rPr>
      </w:pPr>
    </w:p>
    <w:p w:rsidR="00F53739" w:rsidRPr="00F17E37" w:rsidRDefault="00F53739" w:rsidP="00DD206A">
      <w:pPr>
        <w:spacing w:after="0"/>
        <w:jc w:val="both"/>
        <w:rPr>
          <w:rFonts w:asciiTheme="majorHAnsi" w:hAnsiTheme="majorHAnsi"/>
          <w:bCs/>
        </w:rPr>
      </w:pPr>
    </w:p>
    <w:p w:rsidR="00F53739" w:rsidRPr="00F17E37" w:rsidRDefault="00F53739" w:rsidP="00DD206A">
      <w:pPr>
        <w:spacing w:after="0"/>
        <w:jc w:val="both"/>
        <w:rPr>
          <w:rFonts w:asciiTheme="majorHAnsi" w:hAnsiTheme="majorHAnsi"/>
          <w:bCs/>
        </w:rPr>
      </w:pPr>
    </w:p>
    <w:p w:rsidR="00F22356" w:rsidRPr="00F17E37" w:rsidRDefault="00F22356" w:rsidP="00DD206A">
      <w:pPr>
        <w:spacing w:after="0"/>
        <w:jc w:val="both"/>
        <w:rPr>
          <w:rFonts w:asciiTheme="majorHAnsi" w:hAnsiTheme="majorHAnsi"/>
          <w:bCs/>
        </w:rPr>
      </w:pPr>
    </w:p>
    <w:p w:rsidR="00877192" w:rsidRPr="00F17E37" w:rsidRDefault="00877192" w:rsidP="00DD206A">
      <w:pPr>
        <w:spacing w:after="0"/>
        <w:jc w:val="both"/>
        <w:rPr>
          <w:rFonts w:asciiTheme="majorHAnsi" w:hAnsiTheme="majorHAnsi"/>
          <w:bCs/>
        </w:rPr>
      </w:pPr>
    </w:p>
    <w:p w:rsidR="00877192" w:rsidRPr="00F17E37" w:rsidRDefault="00877192" w:rsidP="00DD206A">
      <w:pPr>
        <w:spacing w:after="0"/>
        <w:jc w:val="both"/>
        <w:rPr>
          <w:rFonts w:asciiTheme="majorHAnsi" w:hAnsiTheme="majorHAnsi"/>
          <w:bCs/>
        </w:rPr>
      </w:pPr>
    </w:p>
    <w:p w:rsidR="00877192" w:rsidRPr="00F17E37" w:rsidRDefault="00877192" w:rsidP="00DD206A">
      <w:pPr>
        <w:spacing w:after="0"/>
        <w:jc w:val="both"/>
        <w:rPr>
          <w:rFonts w:asciiTheme="majorHAnsi" w:hAnsiTheme="majorHAnsi"/>
          <w:bCs/>
        </w:rPr>
      </w:pPr>
    </w:p>
    <w:p w:rsidR="00B56F4A" w:rsidRPr="00F17E37" w:rsidRDefault="00B56F4A" w:rsidP="00DD206A">
      <w:pPr>
        <w:spacing w:after="0"/>
        <w:jc w:val="both"/>
        <w:rPr>
          <w:rFonts w:asciiTheme="majorHAnsi" w:hAnsiTheme="majorHAnsi"/>
          <w:bCs/>
        </w:rPr>
      </w:pPr>
    </w:p>
    <w:p w:rsidR="00657A2E" w:rsidRPr="00F17E37" w:rsidRDefault="00E77F03" w:rsidP="006D77D5">
      <w:pPr>
        <w:pStyle w:val="Heading1"/>
        <w:rPr>
          <w:u w:val="single"/>
          <w:lang w:val="sr-Latn-CS"/>
        </w:rPr>
      </w:pPr>
      <w:bookmarkStart w:id="58" w:name="_Toc507483698"/>
      <w:r w:rsidRPr="00F17E37">
        <w:rPr>
          <w:u w:val="single"/>
          <w:lang w:val="sr-Latn-CS"/>
        </w:rPr>
        <w:lastRenderedPageBreak/>
        <w:t>Note bilansa uspjeha</w:t>
      </w:r>
      <w:bookmarkEnd w:id="58"/>
    </w:p>
    <w:p w:rsidR="009767AA" w:rsidRPr="00F17E37" w:rsidRDefault="009767AA" w:rsidP="009767AA">
      <w:pPr>
        <w:rPr>
          <w:rFonts w:asciiTheme="majorHAnsi" w:hAnsiTheme="majorHAnsi"/>
          <w:lang w:val="sr-Latn-CS"/>
        </w:rPr>
      </w:pPr>
    </w:p>
    <w:p w:rsidR="00A62FA3" w:rsidRPr="00F17E37" w:rsidRDefault="009767AA" w:rsidP="00A62FA3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9557A9" w:rsidRPr="00F17E37">
        <w:rPr>
          <w:rFonts w:asciiTheme="majorHAnsi" w:hAnsiTheme="majorHAnsi"/>
          <w:lang w:val="sr-Latn-CS"/>
        </w:rPr>
        <w:t xml:space="preserve"> 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49 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51235D" w:rsidRPr="00F17E37">
        <w:rPr>
          <w:rFonts w:asciiTheme="majorHAnsi" w:hAnsiTheme="majorHAnsi"/>
          <w:lang w:val="sr-Latn-CS"/>
        </w:rPr>
        <w:t>8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</w:t>
      </w:r>
    </w:p>
    <w:p w:rsidR="0051235D" w:rsidRPr="00F17E37" w:rsidRDefault="0051235D" w:rsidP="009767AA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Pored vlastite poslovne mreže Drušvo je </w:t>
      </w:r>
      <w:r w:rsidR="00A34E36" w:rsidRPr="00F17E37">
        <w:rPr>
          <w:rFonts w:asciiTheme="majorHAnsi" w:hAnsiTheme="majorHAnsi"/>
          <w:lang w:val="sr-Latn-CS"/>
        </w:rPr>
        <w:t xml:space="preserve"> poslovnu aktivnost obavljalo i preko jednog zastupnika i tri brokerska društva.</w:t>
      </w:r>
    </w:p>
    <w:p w:rsidR="00A62FA3" w:rsidRPr="00F17E37" w:rsidRDefault="00A62FA3" w:rsidP="009060DE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U 201</w:t>
      </w:r>
      <w:r w:rsidR="00A34E36" w:rsidRPr="00F17E37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>.g.Društvo je ostvarilo fak</w:t>
      </w:r>
      <w:r w:rsidR="00A34E36" w:rsidRPr="00F17E37">
        <w:rPr>
          <w:rFonts w:asciiTheme="majorHAnsi" w:hAnsiTheme="majorHAnsi"/>
          <w:lang w:val="sr-Latn-CS"/>
        </w:rPr>
        <w:t>turisanu premiju u iznosu od 17.152.600</w:t>
      </w:r>
      <w:r w:rsidRPr="00F17E37">
        <w:rPr>
          <w:rFonts w:asciiTheme="majorHAnsi" w:hAnsiTheme="majorHAnsi"/>
          <w:lang w:val="sr-Latn-CS"/>
        </w:rPr>
        <w:t xml:space="preserve"> KM po svim  vidovima  neživotnog osiguranja.Prihodi po osnovu premije su formirani na obračunskoj osnovi poštujući načelo uzročnosti  nastanka prihoda  bez obzira na momenat  naplate isti.</w:t>
      </w:r>
    </w:p>
    <w:p w:rsidR="00A62FA3" w:rsidRPr="00F17E37" w:rsidRDefault="0099063F" w:rsidP="00A62FA3">
      <w:pPr>
        <w:tabs>
          <w:tab w:val="left" w:pos="4253"/>
          <w:tab w:val="left" w:pos="4395"/>
        </w:tabs>
        <w:ind w:right="-93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62FA3" w:rsidRPr="00F17E37">
        <w:rPr>
          <w:rFonts w:asciiTheme="majorHAnsi" w:hAnsiTheme="majorHAnsi"/>
          <w:lang w:val="sr-Latn-CS"/>
        </w:rPr>
        <w:t xml:space="preserve">Podaci o prodatim polisama osiguranja se </w:t>
      </w:r>
      <w:r w:rsidR="00F22356" w:rsidRPr="00F17E37">
        <w:rPr>
          <w:rFonts w:asciiTheme="majorHAnsi" w:hAnsiTheme="majorHAnsi"/>
          <w:lang w:val="sr-Latn-CS"/>
        </w:rPr>
        <w:t xml:space="preserve">sa terena </w:t>
      </w:r>
      <w:r w:rsidR="00A62FA3" w:rsidRPr="00F17E37">
        <w:rPr>
          <w:rFonts w:asciiTheme="majorHAnsi" w:hAnsiTheme="majorHAnsi"/>
          <w:lang w:val="sr-Latn-CS"/>
        </w:rPr>
        <w:t>na  kraju dana dostavljaju u sjedište Društva gdje se vrši</w:t>
      </w:r>
      <w:r w:rsidR="00F22356" w:rsidRPr="00F17E37">
        <w:rPr>
          <w:rFonts w:asciiTheme="majorHAnsi" w:hAnsiTheme="majorHAnsi"/>
          <w:lang w:val="sr-Latn-CS"/>
        </w:rPr>
        <w:t xml:space="preserve"> preuzimanje i</w:t>
      </w:r>
      <w:r w:rsidR="00A62FA3" w:rsidRPr="00F17E37">
        <w:rPr>
          <w:rFonts w:asciiTheme="majorHAnsi" w:hAnsiTheme="majorHAnsi"/>
          <w:lang w:val="sr-Latn-CS"/>
        </w:rPr>
        <w:t xml:space="preserve"> aut</w:t>
      </w:r>
      <w:r w:rsidR="00F22356" w:rsidRPr="00F17E37">
        <w:rPr>
          <w:rFonts w:asciiTheme="majorHAnsi" w:hAnsiTheme="majorHAnsi"/>
          <w:lang w:val="sr-Latn-CS"/>
        </w:rPr>
        <w:t>o</w:t>
      </w:r>
      <w:r w:rsidR="00A62FA3" w:rsidRPr="00F17E37">
        <w:rPr>
          <w:rFonts w:asciiTheme="majorHAnsi" w:hAnsiTheme="majorHAnsi"/>
          <w:lang w:val="sr-Latn-CS"/>
        </w:rPr>
        <w:t>matsko rasknjižavanje i azuriranje podataka u računovodstvu.</w:t>
      </w:r>
    </w:p>
    <w:p w:rsidR="00A62FA3" w:rsidRPr="00F17E37" w:rsidRDefault="00A62FA3" w:rsidP="009767AA">
      <w:pPr>
        <w:pStyle w:val="NoSpacing"/>
        <w:spacing w:before="240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>NOTA  2</w:t>
      </w:r>
      <w:r w:rsidR="00657A2E" w:rsidRPr="00F17E37">
        <w:rPr>
          <w:rFonts w:asciiTheme="majorHAnsi" w:hAnsiTheme="majorHAnsi"/>
          <w:b/>
          <w:lang w:val="sr-Latn-CS"/>
        </w:rPr>
        <w:t>6</w:t>
      </w:r>
      <w:r w:rsidRPr="00F17E37">
        <w:rPr>
          <w:rFonts w:asciiTheme="majorHAnsi" w:hAnsiTheme="majorHAnsi"/>
          <w:b/>
          <w:lang w:val="sr-Latn-CS"/>
        </w:rPr>
        <w:t>(AOP 208)</w:t>
      </w:r>
    </w:p>
    <w:p w:rsidR="00A62FA3" w:rsidRPr="00F17E37" w:rsidRDefault="00A62FA3" w:rsidP="009060DE">
      <w:pPr>
        <w:pStyle w:val="Heading2"/>
        <w:spacing w:after="0"/>
        <w:rPr>
          <w:lang w:val="sr-Latn-CS"/>
        </w:rPr>
      </w:pPr>
      <w:bookmarkStart w:id="59" w:name="_Toc507483699"/>
      <w:r w:rsidRPr="00F17E37">
        <w:rPr>
          <w:lang w:val="sr-Latn-CS"/>
        </w:rPr>
        <w:t>Ostvarena premija po vrsti osiguranja i broju odrađenih polisa</w:t>
      </w:r>
      <w:bookmarkEnd w:id="59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503"/>
        <w:gridCol w:w="261"/>
        <w:gridCol w:w="261"/>
        <w:gridCol w:w="274"/>
        <w:gridCol w:w="1421"/>
        <w:gridCol w:w="994"/>
        <w:gridCol w:w="1418"/>
        <w:gridCol w:w="851"/>
        <w:gridCol w:w="667"/>
        <w:gridCol w:w="652"/>
      </w:tblGrid>
      <w:tr w:rsidR="00905B3F" w:rsidRPr="00F17E37" w:rsidTr="00900B04">
        <w:trPr>
          <w:trHeight w:val="419"/>
        </w:trPr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 po vrsti</w:t>
            </w: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:rsidTr="00900B04">
        <w:trPr>
          <w:trHeight w:val="419"/>
        </w:trPr>
        <w:tc>
          <w:tcPr>
            <w:tcW w:w="30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inde</w:t>
            </w:r>
            <w:r w:rsidR="001E4858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3A8E" w:rsidRPr="00F17E37" w:rsidTr="00900B04">
        <w:trPr>
          <w:trHeight w:val="41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putnika u javnom prevozu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24.426,15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900B04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22.454,26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D93A8E" w:rsidRPr="00F17E37" w:rsidTr="00900B04">
        <w:trPr>
          <w:trHeight w:val="41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Kolektivno osiguranje radnika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94.972,93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67.595,13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</w:t>
            </w:r>
            <w:r w:rsidR="00D93A8E"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93A8E" w:rsidRPr="00F17E37" w:rsidTr="00900B04">
        <w:trPr>
          <w:trHeight w:val="41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auto nezgode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153.947.04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151.547,55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46491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</w:t>
            </w:r>
            <w:r w:rsidR="00D93A8E"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D93A8E" w:rsidRPr="00F17E37" w:rsidTr="00900B04">
        <w:trPr>
          <w:trHeight w:val="41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zdravstveno osiguranje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60.528,22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2A3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45.092,20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0,35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Osigur. vozila koja se kreću po kopnu-kasko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753.624,57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622.372,89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4.39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imovine,transport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ind w:left="119" w:hanging="119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51.928,69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Osiguranje imovine od požara 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165.708,74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140.467,14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</w:t>
            </w:r>
            <w:r w:rsidR="00D93A8E"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00B04" w:rsidRPr="00F17E37" w:rsidTr="00900B04">
        <w:trPr>
          <w:trHeight w:val="489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ostalih šteta imovine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29.583,10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20.777,75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0,17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autoodgovornosti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15.839.529,73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15.102.919,06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52719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92,3</w:t>
            </w:r>
            <w:r w:rsidR="00D93A8E"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Granično osiguranje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23.745,00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33.965,00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ind w:left="-280" w:right="-93" w:firstLine="280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ind w:left="-280" w:right="-93" w:firstLine="280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0,14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Osigur. </w:t>
            </w:r>
            <w:r w:rsidR="00AC7949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odg.za brodove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Osiguranje od odgov.iz djelatnosti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7.174,52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949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49" w:rsidRPr="00F17E37" w:rsidRDefault="00D93A8E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949" w:rsidRPr="00F17E37" w:rsidRDefault="00905B3F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0,04</w:t>
            </w:r>
          </w:p>
        </w:tc>
      </w:tr>
      <w:tr w:rsidR="00D93A8E" w:rsidRPr="00F17E37" w:rsidTr="00900B04">
        <w:trPr>
          <w:trHeight w:val="40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AC7949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17.152.600,00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2422A3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16.262.332,67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07A" w:rsidRPr="00F17E37" w:rsidRDefault="007E30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103.403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900B04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307A" w:rsidRPr="00F17E37" w:rsidRDefault="00D93A8E" w:rsidP="00C1597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A62FA3" w:rsidRPr="00F17E37" w:rsidRDefault="00A62FA3" w:rsidP="001C3E35">
      <w:pPr>
        <w:tabs>
          <w:tab w:val="left" w:pos="975"/>
        </w:tabs>
        <w:rPr>
          <w:rFonts w:asciiTheme="majorHAnsi" w:hAnsiTheme="majorHAnsi"/>
          <w:sz w:val="20"/>
          <w:szCs w:val="20"/>
          <w:lang w:val="sr-Latn-CS"/>
        </w:rPr>
      </w:pPr>
    </w:p>
    <w:p w:rsidR="00A62FA3" w:rsidRPr="00F17E37" w:rsidRDefault="00F17E37" w:rsidP="00F17E37">
      <w:pPr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  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6F0BB6" w:rsidRPr="00F17E37">
        <w:rPr>
          <w:rFonts w:asciiTheme="majorHAnsi" w:hAnsiTheme="majorHAnsi"/>
          <w:lang w:val="sr-Latn-CS"/>
        </w:rPr>
        <w:t>17.152.600,00 KM</w:t>
      </w:r>
      <w:r w:rsidR="00A62FA3" w:rsidRPr="00F17E37">
        <w:rPr>
          <w:rFonts w:asciiTheme="majorHAnsi" w:hAnsiTheme="majorHAnsi"/>
          <w:lang w:val="sr-Latn-CS"/>
        </w:rPr>
        <w:t xml:space="preserve"> je veća u odnosu na isti perid predhodne godine (</w:t>
      </w:r>
      <w:r w:rsidR="006F0BB6" w:rsidRPr="00F17E37">
        <w:rPr>
          <w:rFonts w:asciiTheme="majorHAnsi" w:hAnsiTheme="majorHAnsi"/>
          <w:lang w:val="sr-Latn-CS"/>
        </w:rPr>
        <w:t>16.262.332,67</w:t>
      </w:r>
      <w:r w:rsidR="00A62FA3" w:rsidRPr="00F17E37">
        <w:rPr>
          <w:rFonts w:asciiTheme="majorHAnsi" w:hAnsiTheme="majorHAnsi"/>
          <w:lang w:val="sr-Latn-CS"/>
        </w:rPr>
        <w:t>) za 5,</w:t>
      </w:r>
      <w:r w:rsidR="006F0BB6" w:rsidRPr="00F17E37">
        <w:rPr>
          <w:rFonts w:asciiTheme="majorHAnsi" w:hAnsiTheme="majorHAnsi"/>
          <w:lang w:val="sr-Latn-CS"/>
        </w:rPr>
        <w:t>47%</w:t>
      </w:r>
      <w:r w:rsidR="00A62FA3" w:rsidRPr="00F17E37">
        <w:rPr>
          <w:rFonts w:asciiTheme="majorHAnsi" w:hAnsiTheme="majorHAnsi"/>
          <w:lang w:val="sr-Latn-CS"/>
        </w:rPr>
        <w:t xml:space="preserve"> ili za </w:t>
      </w:r>
      <w:r w:rsidR="006F0BB6" w:rsidRPr="00F17E37">
        <w:rPr>
          <w:rFonts w:asciiTheme="majorHAnsi" w:hAnsiTheme="majorHAnsi"/>
          <w:lang w:val="sr-Latn-CS"/>
        </w:rPr>
        <w:t>890.267,33KM</w:t>
      </w:r>
      <w:r w:rsidR="00A62FA3" w:rsidRPr="00F17E37">
        <w:rPr>
          <w:rFonts w:asciiTheme="majorHAnsi" w:hAnsiTheme="majorHAnsi"/>
          <w:lang w:val="sr-Latn-CS"/>
        </w:rPr>
        <w:t>.                                                                                                                                     U strukturi premije najveća stavka pripada osiguranju od autodgovornosti 92,</w:t>
      </w:r>
      <w:r w:rsidR="00C8434B" w:rsidRPr="00F17E37">
        <w:rPr>
          <w:rFonts w:asciiTheme="majorHAnsi" w:hAnsiTheme="majorHAnsi"/>
          <w:lang w:val="sr-Latn-CS"/>
        </w:rPr>
        <w:t>34</w:t>
      </w:r>
      <w:r w:rsidR="00A62FA3" w:rsidRPr="00F17E37">
        <w:rPr>
          <w:rFonts w:asciiTheme="majorHAnsi" w:hAnsiTheme="majorHAnsi"/>
          <w:lang w:val="sr-Latn-CS"/>
        </w:rPr>
        <w:t xml:space="preserve">%,kasko </w:t>
      </w:r>
      <w:r w:rsidR="00C8434B" w:rsidRPr="00F17E37">
        <w:rPr>
          <w:rFonts w:asciiTheme="majorHAnsi" w:hAnsiTheme="majorHAnsi"/>
          <w:lang w:val="sr-Latn-CS"/>
        </w:rPr>
        <w:t>4</w:t>
      </w:r>
      <w:r w:rsidR="00A62FA3" w:rsidRPr="00F17E37">
        <w:rPr>
          <w:rFonts w:asciiTheme="majorHAnsi" w:hAnsiTheme="majorHAnsi"/>
          <w:lang w:val="sr-Latn-CS"/>
        </w:rPr>
        <w:t>,</w:t>
      </w:r>
      <w:r w:rsidR="00C8434B" w:rsidRPr="00F17E37">
        <w:rPr>
          <w:rFonts w:asciiTheme="majorHAnsi" w:hAnsiTheme="majorHAnsi"/>
          <w:lang w:val="sr-Latn-CS"/>
        </w:rPr>
        <w:t>39</w:t>
      </w:r>
      <w:r w:rsidR="00A62FA3" w:rsidRPr="00F17E37">
        <w:rPr>
          <w:rFonts w:asciiTheme="majorHAnsi" w:hAnsiTheme="majorHAnsi"/>
          <w:lang w:val="sr-Latn-CS"/>
        </w:rPr>
        <w:t>% a 3,</w:t>
      </w:r>
      <w:r w:rsidR="00C8434B" w:rsidRPr="00F17E37">
        <w:rPr>
          <w:rFonts w:asciiTheme="majorHAnsi" w:hAnsiTheme="majorHAnsi"/>
          <w:lang w:val="sr-Latn-CS"/>
        </w:rPr>
        <w:t>27</w:t>
      </w:r>
      <w:r w:rsidR="00A62FA3" w:rsidRPr="00F17E37">
        <w:rPr>
          <w:rFonts w:asciiTheme="majorHAnsi" w:hAnsiTheme="majorHAnsi"/>
          <w:lang w:val="sr-Latn-CS"/>
        </w:rPr>
        <w:t>%  se odnosi na ostale vrste osiguranja.</w:t>
      </w:r>
    </w:p>
    <w:p w:rsidR="00A62FA3" w:rsidRPr="00F17E37" w:rsidRDefault="003056DC" w:rsidP="009060DE">
      <w:pPr>
        <w:spacing w:after="0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        </w:t>
      </w:r>
      <w:r w:rsidR="00A62FA3" w:rsidRPr="00F17E37">
        <w:rPr>
          <w:rFonts w:asciiTheme="majorHAnsi" w:hAnsiTheme="majorHAnsi"/>
          <w:b/>
          <w:lang w:val="sr-Latn-CS"/>
        </w:rPr>
        <w:t>Raspodjela premije prema Odluci o raspodjeli bruto premije</w:t>
      </w:r>
      <w:r w:rsidR="009C44E1" w:rsidRPr="00F17E37">
        <w:rPr>
          <w:rFonts w:asciiTheme="majorHAnsi" w:hAnsiTheme="majorHAnsi"/>
          <w:b/>
          <w:lang w:val="sr-Latn-CS"/>
        </w:rPr>
        <w:t xml:space="preserve"> </w:t>
      </w:r>
      <w:r w:rsidR="00A62FA3" w:rsidRPr="00F17E37">
        <w:rPr>
          <w:rFonts w:asciiTheme="majorHAnsi" w:hAnsiTheme="majorHAnsi"/>
          <w:b/>
          <w:lang w:val="sr-Latn-CS"/>
        </w:rPr>
        <w:t xml:space="preserve">sa maksimalnim stopama režijskog dodataka </w:t>
      </w: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92"/>
        <w:gridCol w:w="305"/>
        <w:gridCol w:w="1184"/>
        <w:gridCol w:w="1074"/>
        <w:gridCol w:w="1450"/>
        <w:gridCol w:w="1184"/>
        <w:gridCol w:w="1184"/>
        <w:gridCol w:w="1529"/>
      </w:tblGrid>
      <w:tr w:rsidR="00A62FA3" w:rsidRPr="00F17E37" w:rsidTr="0089335A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Raspored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ind w:left="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Ukupno:</w:t>
            </w:r>
          </w:p>
        </w:tc>
      </w:tr>
      <w:tr w:rsidR="00A62FA3" w:rsidRPr="00F17E37" w:rsidTr="0089335A">
        <w:trPr>
          <w:trHeight w:val="2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Tehnička premija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187.987,82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41.764,47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11.104.292,31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550.145,94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4D6" w:rsidRPr="00F17E37" w:rsidRDefault="00CB680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177.432,71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12.061.623,2</w:t>
            </w:r>
            <w:r w:rsidR="00CB6801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62FA3" w:rsidRPr="00F17E37" w:rsidTr="0089335A">
        <w:trPr>
          <w:trHeight w:val="28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CB680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2.724,46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605.28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15.072,49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3.905,84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CB680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22.308,07</w:t>
            </w:r>
          </w:p>
        </w:tc>
      </w:tr>
      <w:tr w:rsidR="00A62FA3" w:rsidRPr="00F17E37" w:rsidTr="0089335A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Režij</w:t>
            </w:r>
            <w:r w:rsidR="00C159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dododatak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81.733,84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18.158,47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4.758.982,42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188.406,14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447915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21.387,81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5.068.668,68</w:t>
            </w:r>
          </w:p>
        </w:tc>
      </w:tr>
      <w:tr w:rsidR="00A62FA3" w:rsidRPr="00F17E37" w:rsidTr="0089335A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272.446,12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60.528,22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15.863.274,73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753.624,57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CB6801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202.726,36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D74D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17.152.600,00</w:t>
            </w:r>
          </w:p>
        </w:tc>
      </w:tr>
    </w:tbl>
    <w:p w:rsidR="002F01B3" w:rsidRDefault="009060DE" w:rsidP="002F01B3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:rsidR="002F01B3" w:rsidRDefault="002F01B3" w:rsidP="002F01B3">
      <w:pPr>
        <w:spacing w:after="0" w:line="240" w:lineRule="auto"/>
        <w:rPr>
          <w:rFonts w:asciiTheme="majorHAnsi" w:hAnsiTheme="majorHAnsi"/>
          <w:lang w:val="sr-Latn-CS"/>
        </w:rPr>
      </w:pPr>
    </w:p>
    <w:p w:rsidR="00A62FA3" w:rsidRPr="00F17E37" w:rsidRDefault="002F01B3" w:rsidP="009060DE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izvršeno je smanjenje prihoda perioda u korist prenosne premije u iznosu od </w:t>
      </w:r>
      <w:r w:rsidR="006F45C6" w:rsidRPr="00F17E37">
        <w:rPr>
          <w:rFonts w:asciiTheme="majorHAnsi" w:hAnsiTheme="majorHAnsi"/>
          <w:lang w:val="sr-Latn-CS"/>
        </w:rPr>
        <w:t>200.853,75</w:t>
      </w:r>
      <w:r w:rsidR="00A62FA3" w:rsidRPr="00F17E37">
        <w:rPr>
          <w:rFonts w:asciiTheme="majorHAnsi" w:hAnsiTheme="majorHAnsi"/>
          <w:lang w:val="sr-Latn-CS"/>
        </w:rPr>
        <w:t xml:space="preserve"> KM.</w:t>
      </w:r>
    </w:p>
    <w:p w:rsidR="001C3E35" w:rsidRPr="00F17E37" w:rsidRDefault="00A62FA3" w:rsidP="009060DE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Pr="00F17E37">
        <w:rPr>
          <w:rFonts w:asciiTheme="majorHAnsi" w:hAnsiTheme="majorHAnsi"/>
          <w:lang w:val="sr-Latn-CS"/>
        </w:rPr>
        <w:t xml:space="preserve"> 201</w:t>
      </w:r>
      <w:r w:rsidR="00C25DE4" w:rsidRPr="00F17E37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>.g.(</w:t>
      </w:r>
      <w:r w:rsidR="00C25DE4" w:rsidRPr="00F17E37">
        <w:rPr>
          <w:rFonts w:asciiTheme="majorHAnsi" w:hAnsiTheme="majorHAnsi"/>
          <w:lang w:val="sr-Latn-CS"/>
        </w:rPr>
        <w:t>16.951.</w:t>
      </w:r>
      <w:r w:rsidR="008A6A65" w:rsidRPr="00F17E37">
        <w:rPr>
          <w:rFonts w:asciiTheme="majorHAnsi" w:hAnsiTheme="majorHAnsi"/>
          <w:lang w:val="sr-Latn-CS"/>
        </w:rPr>
        <w:t>735,53</w:t>
      </w:r>
      <w:r w:rsidRPr="00F17E37">
        <w:rPr>
          <w:rFonts w:asciiTheme="majorHAnsi" w:hAnsiTheme="majorHAnsi"/>
          <w:lang w:val="sr-Latn-CS"/>
        </w:rPr>
        <w:t>) je veća u odnosu na isti period predhodne godine (</w:t>
      </w:r>
      <w:r w:rsidR="00C25DE4" w:rsidRPr="00F17E37">
        <w:rPr>
          <w:rFonts w:asciiTheme="majorHAnsi" w:hAnsiTheme="majorHAnsi"/>
          <w:lang w:val="sr-Latn-CS"/>
        </w:rPr>
        <w:t>15.747.802,61</w:t>
      </w:r>
      <w:r w:rsidRPr="00F17E37">
        <w:rPr>
          <w:rFonts w:asciiTheme="majorHAnsi" w:hAnsiTheme="majorHAnsi"/>
          <w:lang w:val="sr-Latn-CS"/>
        </w:rPr>
        <w:t>)za 7,6</w:t>
      </w:r>
      <w:r w:rsidR="00C25DE4" w:rsidRPr="00F17E37">
        <w:rPr>
          <w:rFonts w:asciiTheme="majorHAnsi" w:hAnsiTheme="majorHAnsi"/>
          <w:lang w:val="sr-Latn-CS"/>
        </w:rPr>
        <w:t>5</w:t>
      </w:r>
      <w:r w:rsidRPr="00F17E37">
        <w:rPr>
          <w:rFonts w:asciiTheme="majorHAnsi" w:hAnsiTheme="majorHAnsi"/>
          <w:lang w:val="sr-Latn-CS"/>
        </w:rPr>
        <w:t>%.</w:t>
      </w:r>
    </w:p>
    <w:p w:rsidR="0099063F" w:rsidRPr="00F17E37" w:rsidRDefault="0099063F" w:rsidP="0099063F">
      <w:pPr>
        <w:spacing w:after="0" w:line="240" w:lineRule="auto"/>
        <w:rPr>
          <w:rFonts w:asciiTheme="majorHAnsi" w:hAnsiTheme="majorHAnsi"/>
          <w:lang w:val="sr-Latn-CS"/>
        </w:rPr>
      </w:pPr>
    </w:p>
    <w:p w:rsidR="00A62FA3" w:rsidRPr="00F17E37" w:rsidRDefault="009060DE" w:rsidP="009060DE">
      <w:pPr>
        <w:spacing w:after="0"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  <w:r w:rsidR="00A62FA3" w:rsidRPr="00F17E37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8969" w:type="dxa"/>
        <w:tblInd w:w="93" w:type="dxa"/>
        <w:tblLook w:val="04A0" w:firstRow="1" w:lastRow="0" w:firstColumn="1" w:lastColumn="0" w:noHBand="0" w:noVBand="1"/>
      </w:tblPr>
      <w:tblGrid>
        <w:gridCol w:w="3037"/>
        <w:gridCol w:w="863"/>
        <w:gridCol w:w="273"/>
        <w:gridCol w:w="1453"/>
        <w:gridCol w:w="1438"/>
        <w:gridCol w:w="448"/>
        <w:gridCol w:w="1457"/>
      </w:tblGrid>
      <w:tr w:rsidR="00A62FA3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         31.12.2016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D4A5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31.12.201</w:t>
            </w:r>
            <w:r w:rsidR="00AD4A5A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71A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D4A5A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nezgode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139.578,13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128.074,26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11.503,87</w:t>
            </w:r>
          </w:p>
        </w:tc>
      </w:tr>
      <w:tr w:rsidR="00AD4A5A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ind w:right="-95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zdrav.osiguranje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7.535,23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5.842,36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1.692,87</w:t>
            </w:r>
          </w:p>
        </w:tc>
      </w:tr>
      <w:tr w:rsidR="00AD4A5A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ao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8.088.050,74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7.964.183,19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123.867,55</w:t>
            </w:r>
          </w:p>
        </w:tc>
      </w:tr>
      <w:tr w:rsidR="00AD4A5A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 po kasku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373.375,83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308.503,53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64.872,30</w:t>
            </w:r>
          </w:p>
        </w:tc>
      </w:tr>
      <w:tr w:rsidR="00AD4A5A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imovine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D303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156.</w:t>
            </w:r>
            <w:r w:rsidR="00D3035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801,42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157.873,54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1.082,84</w:t>
            </w:r>
          </w:p>
        </w:tc>
      </w:tr>
      <w:tr w:rsidR="00AD4A5A" w:rsidRPr="00F17E37" w:rsidTr="0089335A">
        <w:trPr>
          <w:trHeight w:val="2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D303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8.765.</w:t>
            </w:r>
            <w:r w:rsidR="00D3035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341,35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AD4A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8.564.476,88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A5A" w:rsidRPr="00F17E37" w:rsidRDefault="00AD4A5A" w:rsidP="00AD4A5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A5A" w:rsidRPr="00F17E37" w:rsidRDefault="00AD4A5A" w:rsidP="0040577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200.</w:t>
            </w:r>
            <w:r w:rsidR="00405770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864, </w:t>
            </w:r>
            <w:r w:rsidR="00D3035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</w:t>
            </w:r>
          </w:p>
        </w:tc>
      </w:tr>
    </w:tbl>
    <w:p w:rsidR="001C3E35" w:rsidRPr="00F17E37" w:rsidRDefault="001C3E35" w:rsidP="00F43047">
      <w:pPr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2</w:t>
      </w:r>
      <w:r w:rsidR="00657A2E" w:rsidRPr="00F17E37">
        <w:rPr>
          <w:rFonts w:asciiTheme="majorHAnsi" w:hAnsiTheme="majorHAnsi"/>
          <w:b/>
          <w:u w:val="single"/>
          <w:lang w:val="sr-Latn-CS"/>
        </w:rPr>
        <w:t>7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:rsidR="00A62FA3" w:rsidRPr="00F17E37" w:rsidRDefault="00A62FA3" w:rsidP="00F43047">
      <w:pPr>
        <w:pStyle w:val="Heading2"/>
        <w:spacing w:after="0"/>
        <w:rPr>
          <w:u w:val="single"/>
          <w:lang w:val="sr-Latn-CS"/>
        </w:rPr>
      </w:pPr>
      <w:bookmarkStart w:id="60" w:name="_Toc507483700"/>
      <w:r w:rsidRPr="00F17E37">
        <w:t>Prihodi po osnovu učešća reosiguravač</w:t>
      </w:r>
      <w:r w:rsidRPr="00F17E37">
        <w:rPr>
          <w:lang w:val="sr-Latn-CS"/>
        </w:rPr>
        <w:t>a u likvidiranim štetama</w:t>
      </w:r>
      <w:bookmarkEnd w:id="60"/>
    </w:p>
    <w:p w:rsidR="00A62FA3" w:rsidRPr="00F17E37" w:rsidRDefault="00A62FA3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Prihod po osnovu učešća reosiguravača u likvidiranim štetama iznosi </w:t>
      </w:r>
      <w:r w:rsidR="006C131F" w:rsidRPr="00F17E37">
        <w:rPr>
          <w:rFonts w:asciiTheme="majorHAnsi" w:hAnsiTheme="majorHAnsi"/>
          <w:lang w:val="sr-Latn-CS"/>
        </w:rPr>
        <w:t>111</w:t>
      </w:r>
      <w:r w:rsidRPr="00F17E37">
        <w:rPr>
          <w:rFonts w:asciiTheme="majorHAnsi" w:hAnsiTheme="majorHAnsi"/>
          <w:lang w:val="sr-Latn-CS"/>
        </w:rPr>
        <w:t>.</w:t>
      </w:r>
      <w:r w:rsidR="00B56F4A">
        <w:rPr>
          <w:rFonts w:asciiTheme="majorHAnsi" w:hAnsiTheme="majorHAnsi"/>
          <w:lang w:val="sr-Latn-CS"/>
        </w:rPr>
        <w:t>088,40KM,</w:t>
      </w:r>
    </w:p>
    <w:p w:rsidR="00A62FA3" w:rsidRPr="00F17E37" w:rsidRDefault="00B56F4A" w:rsidP="00A62FA3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:rsidR="00A62FA3" w:rsidRPr="00F17E37" w:rsidRDefault="00A62FA3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osiguranje od autoodgovornosti u iznosu od </w:t>
      </w:r>
      <w:r w:rsidR="006C131F" w:rsidRPr="00F17E37">
        <w:rPr>
          <w:rFonts w:asciiTheme="majorHAnsi" w:hAnsiTheme="majorHAnsi"/>
          <w:lang w:val="sr-Latn-CS"/>
        </w:rPr>
        <w:t>2.434,46</w:t>
      </w:r>
      <w:r w:rsidRPr="00F17E37">
        <w:rPr>
          <w:rFonts w:asciiTheme="majorHAnsi" w:hAnsiTheme="majorHAnsi"/>
          <w:lang w:val="sr-Latn-CS"/>
        </w:rPr>
        <w:t xml:space="preserve"> KM</w:t>
      </w:r>
    </w:p>
    <w:p w:rsidR="00A62FA3" w:rsidRPr="00F17E37" w:rsidRDefault="00A62FA3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osiguranje po osnovu </w:t>
      </w:r>
      <w:r w:rsidR="0058710D" w:rsidRPr="00F17E37">
        <w:rPr>
          <w:rFonts w:asciiTheme="majorHAnsi" w:hAnsiTheme="majorHAnsi"/>
          <w:lang w:val="sr-Latn-CS"/>
        </w:rPr>
        <w:t>odgovornosti</w:t>
      </w:r>
      <w:r w:rsidRPr="00F17E37">
        <w:rPr>
          <w:rFonts w:asciiTheme="majorHAnsi" w:hAnsiTheme="majorHAnsi"/>
          <w:lang w:val="sr-Latn-CS"/>
        </w:rPr>
        <w:t xml:space="preserve"> </w:t>
      </w:r>
      <w:r w:rsidR="006C131F" w:rsidRPr="00F17E37">
        <w:rPr>
          <w:rFonts w:asciiTheme="majorHAnsi" w:hAnsiTheme="majorHAnsi"/>
          <w:lang w:val="sr-Latn-CS"/>
        </w:rPr>
        <w:t>vozar</w:t>
      </w:r>
      <w:r w:rsidR="0058710D" w:rsidRPr="00F17E37">
        <w:rPr>
          <w:rFonts w:asciiTheme="majorHAnsi" w:hAnsiTheme="majorHAnsi"/>
          <w:lang w:val="sr-Latn-CS"/>
        </w:rPr>
        <w:t>a</w:t>
      </w:r>
      <w:r w:rsidRPr="00F17E37">
        <w:rPr>
          <w:rFonts w:asciiTheme="majorHAnsi" w:hAnsiTheme="majorHAnsi"/>
          <w:lang w:val="sr-Latn-CS"/>
        </w:rPr>
        <w:t xml:space="preserve"> u iznosu od </w:t>
      </w:r>
      <w:r w:rsidR="006C131F" w:rsidRPr="00F17E37">
        <w:rPr>
          <w:rFonts w:asciiTheme="majorHAnsi" w:hAnsiTheme="majorHAnsi"/>
          <w:lang w:val="sr-Latn-CS"/>
        </w:rPr>
        <w:t>8.245,13KM</w:t>
      </w:r>
      <w:r w:rsidRPr="00F17E37">
        <w:rPr>
          <w:rFonts w:asciiTheme="majorHAnsi" w:hAnsiTheme="majorHAnsi"/>
          <w:lang w:val="sr-Latn-CS"/>
        </w:rPr>
        <w:t>.</w:t>
      </w:r>
    </w:p>
    <w:p w:rsidR="006C131F" w:rsidRPr="00F17E37" w:rsidRDefault="006C131F" w:rsidP="0099063F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Osiguranje po osnovu kaska u iznosu od 100.408,81KM.</w:t>
      </w:r>
    </w:p>
    <w:p w:rsidR="00A62FA3" w:rsidRPr="00F17E37" w:rsidRDefault="00A62FA3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9C44E1" w:rsidRPr="00F17E37">
        <w:rPr>
          <w:rFonts w:asciiTheme="majorHAnsi" w:hAnsiTheme="majorHAnsi"/>
          <w:lang w:val="sr-Latn-CS"/>
        </w:rPr>
        <w:t>139.037KM</w:t>
      </w:r>
      <w:r w:rsidRPr="00F17E37">
        <w:rPr>
          <w:rFonts w:asciiTheme="majorHAnsi" w:hAnsiTheme="majorHAnsi"/>
          <w:lang w:val="sr-Latn-CS"/>
        </w:rPr>
        <w:t xml:space="preserve">. </w:t>
      </w:r>
    </w:p>
    <w:p w:rsidR="00A62FA3" w:rsidRPr="00F17E37" w:rsidRDefault="00A62FA3" w:rsidP="00A62FA3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</w:p>
    <w:p w:rsidR="00A62FA3" w:rsidRPr="00F17E37" w:rsidRDefault="00A62FA3" w:rsidP="00A62FA3">
      <w:pPr>
        <w:pStyle w:val="NoSpacing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2</w:t>
      </w:r>
      <w:r w:rsidR="00657A2E" w:rsidRPr="00F17E37">
        <w:rPr>
          <w:rFonts w:asciiTheme="majorHAnsi" w:hAnsiTheme="majorHAnsi"/>
          <w:b/>
          <w:u w:val="single"/>
          <w:lang w:val="sr-Latn-CS"/>
        </w:rPr>
        <w:t>8</w:t>
      </w:r>
      <w:r w:rsidRPr="00F17E37">
        <w:rPr>
          <w:rFonts w:asciiTheme="majorHAnsi" w:hAnsiTheme="majorHAnsi"/>
          <w:b/>
          <w:u w:val="single"/>
          <w:lang w:val="sr-Latn-CS"/>
        </w:rPr>
        <w:t>(AOP 211)</w:t>
      </w:r>
    </w:p>
    <w:p w:rsidR="00A62FA3" w:rsidRPr="00F17E37" w:rsidRDefault="00A62FA3" w:rsidP="009060DE">
      <w:pPr>
        <w:pStyle w:val="Heading2"/>
        <w:spacing w:after="0"/>
        <w:rPr>
          <w:lang w:val="sr-Latn-CS"/>
        </w:rPr>
      </w:pPr>
      <w:bookmarkStart w:id="61" w:name="_Toc507483701"/>
      <w:r w:rsidRPr="00F17E37">
        <w:rPr>
          <w:lang w:val="sr-Latn-CS"/>
        </w:rPr>
        <w:t>Prihodi od povrata poreskih da</w:t>
      </w:r>
      <w:r w:rsidR="005565B8">
        <w:rPr>
          <w:lang w:val="sr-Latn-CS"/>
        </w:rPr>
        <w:t>dž</w:t>
      </w:r>
      <w:r w:rsidRPr="00F17E37">
        <w:rPr>
          <w:lang w:val="sr-Latn-CS"/>
        </w:rPr>
        <w:t>bina,subvencija,dotacija,donacija i sl.</w:t>
      </w:r>
      <w:bookmarkEnd w:id="61"/>
    </w:p>
    <w:p w:rsidR="006C131F" w:rsidRPr="00F17E37" w:rsidRDefault="001732FB" w:rsidP="006C131F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62FA3" w:rsidRPr="00F17E37">
        <w:rPr>
          <w:rFonts w:asciiTheme="majorHAnsi" w:hAnsiTheme="majorHAnsi"/>
          <w:lang w:val="sr-Latn-CS"/>
        </w:rPr>
        <w:t>U 201</w:t>
      </w:r>
      <w:r w:rsidR="006C131F" w:rsidRPr="00F17E37">
        <w:rPr>
          <w:rFonts w:asciiTheme="majorHAnsi" w:hAnsiTheme="majorHAnsi"/>
          <w:lang w:val="sr-Latn-CS"/>
        </w:rPr>
        <w:t>7</w:t>
      </w:r>
      <w:r w:rsidR="00A62FA3" w:rsidRPr="00F17E37">
        <w:rPr>
          <w:rFonts w:asciiTheme="majorHAnsi" w:hAnsiTheme="majorHAnsi"/>
          <w:lang w:val="sr-Latn-CS"/>
        </w:rPr>
        <w:t>.g.</w:t>
      </w:r>
      <w:r w:rsidR="006C131F" w:rsidRPr="00F17E37">
        <w:rPr>
          <w:rFonts w:asciiTheme="majorHAnsi" w:hAnsiTheme="majorHAnsi"/>
          <w:lang w:val="sr-Latn-CS"/>
        </w:rPr>
        <w:t>na ovoj poziciji su evidentirani prihodi po osnovu refundacije plata radnika u iznosu od 5.451,16KM.</w:t>
      </w:r>
    </w:p>
    <w:p w:rsidR="00A62FA3" w:rsidRPr="00F17E37" w:rsidRDefault="00A62FA3" w:rsidP="00FE240D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U 201</w:t>
      </w:r>
      <w:r w:rsidR="006C131F" w:rsidRPr="00F17E37">
        <w:rPr>
          <w:rFonts w:asciiTheme="majorHAnsi" w:hAnsiTheme="majorHAnsi"/>
          <w:lang w:val="sr-Latn-CS"/>
        </w:rPr>
        <w:t>6</w:t>
      </w:r>
      <w:r w:rsidRPr="00F17E37">
        <w:rPr>
          <w:rFonts w:asciiTheme="majorHAnsi" w:hAnsiTheme="majorHAnsi"/>
          <w:lang w:val="sr-Latn-CS"/>
        </w:rPr>
        <w:t xml:space="preserve">.g. su evidentirani prihodi u iznosu od </w:t>
      </w:r>
      <w:r w:rsidR="006C131F" w:rsidRPr="00F17E37">
        <w:rPr>
          <w:rFonts w:asciiTheme="majorHAnsi" w:hAnsiTheme="majorHAnsi"/>
          <w:lang w:val="sr-Latn-CS"/>
        </w:rPr>
        <w:t>2.177,36</w:t>
      </w:r>
      <w:r w:rsidRPr="00F17E37">
        <w:rPr>
          <w:rFonts w:asciiTheme="majorHAnsi" w:hAnsiTheme="majorHAnsi"/>
          <w:lang w:val="sr-Latn-CS"/>
        </w:rPr>
        <w:t xml:space="preserve"> KM po osnovu </w:t>
      </w:r>
      <w:r w:rsidR="006C131F" w:rsidRPr="00F17E37">
        <w:rPr>
          <w:rFonts w:asciiTheme="majorHAnsi" w:hAnsiTheme="majorHAnsi"/>
          <w:lang w:val="sr-Latn-CS"/>
        </w:rPr>
        <w:t>donacije Opštine Šamac.</w:t>
      </w:r>
      <w:r w:rsidRPr="00F17E37">
        <w:rPr>
          <w:rFonts w:asciiTheme="majorHAnsi" w:hAnsiTheme="majorHAnsi"/>
          <w:lang w:val="sr-Latn-CS"/>
        </w:rPr>
        <w:t xml:space="preserve"> </w:t>
      </w: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657A2E" w:rsidRPr="00F17E37">
        <w:rPr>
          <w:rFonts w:asciiTheme="majorHAnsi" w:hAnsiTheme="majorHAnsi"/>
          <w:b/>
          <w:u w:val="single"/>
          <w:lang w:val="sr-Latn-CS"/>
        </w:rPr>
        <w:t>29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:rsidR="00A62FA3" w:rsidRPr="00F17E37" w:rsidRDefault="00A62FA3" w:rsidP="00F43047">
      <w:pPr>
        <w:pStyle w:val="Heading2"/>
        <w:spacing w:after="0"/>
        <w:rPr>
          <w:lang w:val="sr-Latn-CS"/>
        </w:rPr>
      </w:pPr>
      <w:bookmarkStart w:id="62" w:name="_Toc507483702"/>
      <w:r w:rsidRPr="00F17E37">
        <w:rPr>
          <w:lang w:val="sr-Latn-CS"/>
        </w:rPr>
        <w:t>Drugi poslovni prihodi</w:t>
      </w:r>
      <w:bookmarkEnd w:id="62"/>
    </w:p>
    <w:p w:rsidR="00A62FA3" w:rsidRPr="00F17E37" w:rsidRDefault="009060DE" w:rsidP="009060DE">
      <w:pPr>
        <w:pStyle w:val="NoSpacing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142" w:type="dxa"/>
        <w:tblInd w:w="93" w:type="dxa"/>
        <w:tblLook w:val="04A0" w:firstRow="1" w:lastRow="0" w:firstColumn="1" w:lastColumn="0" w:noHBand="0" w:noVBand="1"/>
      </w:tblPr>
      <w:tblGrid>
        <w:gridCol w:w="3222"/>
        <w:gridCol w:w="824"/>
        <w:gridCol w:w="430"/>
        <w:gridCol w:w="286"/>
        <w:gridCol w:w="1336"/>
        <w:gridCol w:w="1336"/>
        <w:gridCol w:w="1064"/>
        <w:gridCol w:w="700"/>
      </w:tblGrid>
      <w:tr w:rsidR="004211DA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4211DA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provizije reosig.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47.886,79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17.449,57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274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4,62</w:t>
            </w:r>
          </w:p>
        </w:tc>
      </w:tr>
      <w:tr w:rsidR="004211DA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285.444,75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342.637,82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83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27,56</w:t>
            </w:r>
          </w:p>
        </w:tc>
      </w:tr>
      <w:tr w:rsidR="004211DA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440.332,39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411.012,38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42,52</w:t>
            </w:r>
          </w:p>
        </w:tc>
      </w:tr>
      <w:tr w:rsidR="004211DA" w:rsidRPr="00F17E37" w:rsidTr="0089335A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217.065,00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207.590,00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20,96</w:t>
            </w:r>
          </w:p>
        </w:tc>
      </w:tr>
      <w:tr w:rsidR="004211DA" w:rsidRPr="00F17E37" w:rsidTr="0089335A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0,08</w:t>
            </w:r>
          </w:p>
        </w:tc>
      </w:tr>
      <w:tr w:rsidR="004211DA" w:rsidRPr="00F17E37" w:rsidTr="0089335A">
        <w:trPr>
          <w:trHeight w:val="268"/>
        </w:trPr>
        <w:tc>
          <w:tcPr>
            <w:tcW w:w="4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8.187,14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10.389,29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79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0,79</w:t>
            </w:r>
          </w:p>
        </w:tc>
      </w:tr>
      <w:tr w:rsidR="004211DA" w:rsidRPr="00F17E37" w:rsidTr="0089335A">
        <w:trPr>
          <w:trHeight w:val="268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nap,šteta na stvar.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7.859,00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0,08</w:t>
            </w:r>
          </w:p>
        </w:tc>
      </w:tr>
      <w:tr w:rsidR="00F96B75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napl.vatogas.dop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33.071,78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B75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B75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3,19</w:t>
            </w:r>
          </w:p>
        </w:tc>
      </w:tr>
      <w:tr w:rsidR="004211DA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1.982,98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3.853,75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0,</w:t>
            </w:r>
            <w:r w:rsidR="00E52884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</w:tr>
      <w:tr w:rsidR="004211DA" w:rsidRPr="00F17E37" w:rsidTr="0089335A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1.035.570,83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4211DA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1.002.041,81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1DA" w:rsidRPr="00F17E37" w:rsidRDefault="00F96B75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1DA" w:rsidRPr="00F17E37" w:rsidRDefault="00F96B75" w:rsidP="00480A7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100</w:t>
            </w:r>
          </w:p>
        </w:tc>
      </w:tr>
    </w:tbl>
    <w:p w:rsidR="002F01B3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:rsidR="00A62FA3" w:rsidRPr="00F17E37" w:rsidRDefault="002F01B3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A62FA3" w:rsidRPr="00F17E37">
        <w:rPr>
          <w:rFonts w:asciiTheme="majorHAnsi" w:hAnsiTheme="majorHAnsi"/>
          <w:lang w:val="sr-Latn-CS"/>
        </w:rPr>
        <w:t xml:space="preserve">U strukturi  drugih poslovnih prihoda najveću stavku zauzimaju prihodi po osnovu regresa </w:t>
      </w:r>
      <w:r w:rsidR="00F96B75" w:rsidRPr="00F17E37">
        <w:rPr>
          <w:rFonts w:asciiTheme="majorHAnsi" w:hAnsiTheme="majorHAnsi"/>
          <w:lang w:val="sr-Latn-CS"/>
        </w:rPr>
        <w:t>27,56</w:t>
      </w:r>
      <w:r w:rsidR="00A62FA3" w:rsidRPr="00F17E37">
        <w:rPr>
          <w:rFonts w:asciiTheme="majorHAnsi" w:hAnsiTheme="majorHAnsi"/>
          <w:lang w:val="sr-Latn-CS"/>
        </w:rPr>
        <w:t xml:space="preserve">%,prihodi po osnovu zakupa, </w:t>
      </w:r>
      <w:r w:rsidR="00F96B75" w:rsidRPr="00F17E37">
        <w:rPr>
          <w:rFonts w:asciiTheme="majorHAnsi" w:hAnsiTheme="majorHAnsi"/>
          <w:lang w:val="sr-Latn-CS"/>
        </w:rPr>
        <w:t>42,52</w:t>
      </w:r>
      <w:r w:rsidR="00A62FA3" w:rsidRPr="00F17E37">
        <w:rPr>
          <w:rFonts w:asciiTheme="majorHAnsi" w:hAnsiTheme="majorHAnsi"/>
          <w:lang w:val="sr-Latn-CS"/>
        </w:rPr>
        <w:t>% i prihodi po osnovu zelene karte 20,</w:t>
      </w:r>
      <w:r w:rsidR="00F96B75" w:rsidRPr="00F17E37">
        <w:rPr>
          <w:rFonts w:asciiTheme="majorHAnsi" w:hAnsiTheme="majorHAnsi"/>
          <w:lang w:val="sr-Latn-CS"/>
        </w:rPr>
        <w:t>96</w:t>
      </w:r>
      <w:r w:rsidR="00A62FA3" w:rsidRPr="00F17E37">
        <w:rPr>
          <w:rFonts w:asciiTheme="majorHAnsi" w:hAnsiTheme="majorHAnsi"/>
          <w:lang w:val="sr-Latn-CS"/>
        </w:rPr>
        <w:t xml:space="preserve">% a u odnosu na prethodnu godinu drugi poslovni prihodi su veći </w:t>
      </w:r>
      <w:r w:rsidR="00F96B75" w:rsidRPr="00F17E37">
        <w:rPr>
          <w:rFonts w:asciiTheme="majorHAnsi" w:hAnsiTheme="majorHAnsi"/>
          <w:lang w:val="sr-Latn-CS"/>
        </w:rPr>
        <w:t>3</w:t>
      </w:r>
      <w:r w:rsidR="00A62FA3" w:rsidRPr="00F17E37">
        <w:rPr>
          <w:rFonts w:asciiTheme="majorHAnsi" w:hAnsiTheme="majorHAnsi"/>
          <w:lang w:val="sr-Latn-CS"/>
        </w:rPr>
        <w:t>%.</w:t>
      </w:r>
    </w:p>
    <w:p w:rsidR="00AB2F79" w:rsidRPr="00F17E37" w:rsidRDefault="0058710D" w:rsidP="00FE240D">
      <w:pPr>
        <w:pStyle w:val="NoSpacing"/>
        <w:tabs>
          <w:tab w:val="left" w:pos="5103"/>
          <w:tab w:val="left" w:pos="7088"/>
          <w:tab w:val="left" w:pos="8505"/>
          <w:tab w:val="left" w:pos="8647"/>
        </w:tabs>
        <w:spacing w:line="276" w:lineRule="auto"/>
        <w:ind w:right="333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</w:t>
      </w:r>
      <w:r w:rsidR="00A62FA3" w:rsidRPr="00F17E37">
        <w:rPr>
          <w:rFonts w:asciiTheme="majorHAnsi" w:hAnsiTheme="majorHAnsi"/>
          <w:lang w:val="sr-Latn-CS"/>
        </w:rPr>
        <w:t xml:space="preserve"> Na stavci ostalih prihoda su uključeni prihodi po osnovu </w:t>
      </w:r>
      <w:r w:rsidR="00F96B75" w:rsidRPr="00F17E37">
        <w:rPr>
          <w:rFonts w:asciiTheme="majorHAnsi" w:hAnsiTheme="majorHAnsi"/>
          <w:lang w:val="sr-Latn-CS"/>
        </w:rPr>
        <w:t xml:space="preserve">doplata po polisama u iznosu od 1.382,98 KM i </w:t>
      </w:r>
      <w:r w:rsidR="00A62FA3" w:rsidRPr="00F17E37">
        <w:rPr>
          <w:rFonts w:asciiTheme="majorHAnsi" w:hAnsiTheme="majorHAnsi"/>
          <w:lang w:val="sr-Latn-CS"/>
        </w:rPr>
        <w:t xml:space="preserve">prihod po osnovu, uslužno isplaćene štete u iznosu od </w:t>
      </w:r>
      <w:r w:rsidR="00F96B75" w:rsidRPr="00F17E37">
        <w:rPr>
          <w:rFonts w:asciiTheme="majorHAnsi" w:hAnsiTheme="majorHAnsi"/>
          <w:lang w:val="sr-Latn-CS"/>
        </w:rPr>
        <w:t>600</w:t>
      </w:r>
      <w:r w:rsidR="00A62FA3" w:rsidRPr="00F17E37">
        <w:rPr>
          <w:rFonts w:asciiTheme="majorHAnsi" w:hAnsiTheme="majorHAnsi"/>
          <w:lang w:val="sr-Latn-CS"/>
        </w:rPr>
        <w:t xml:space="preserve"> KM.</w:t>
      </w:r>
    </w:p>
    <w:p w:rsidR="00FE240D" w:rsidRPr="00F17E37" w:rsidRDefault="00FE240D" w:rsidP="00591E04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>NOTA 3</w:t>
      </w:r>
      <w:r w:rsidR="00657A2E" w:rsidRPr="00F17E37">
        <w:rPr>
          <w:rFonts w:asciiTheme="majorHAnsi" w:hAnsiTheme="majorHAnsi"/>
          <w:b/>
          <w:u w:val="single"/>
          <w:lang w:val="sr-Latn-CS"/>
        </w:rPr>
        <w:t>0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Pr="00F17E37">
        <w:rPr>
          <w:rFonts w:asciiTheme="majorHAnsi" w:hAnsiTheme="majorHAnsi"/>
          <w:lang w:val="sr-Latn-CS"/>
        </w:rPr>
        <w:t>)</w:t>
      </w:r>
    </w:p>
    <w:p w:rsidR="00A62FA3" w:rsidRPr="00F17E37" w:rsidRDefault="00A62FA3" w:rsidP="006013CB">
      <w:pPr>
        <w:pStyle w:val="Heading2"/>
        <w:spacing w:after="0"/>
        <w:rPr>
          <w:lang w:val="sr-Latn-CS"/>
        </w:rPr>
      </w:pPr>
      <w:bookmarkStart w:id="63" w:name="_Toc507483703"/>
      <w:r w:rsidRPr="00F17E37">
        <w:rPr>
          <w:lang w:val="sr-Latn-CS"/>
        </w:rPr>
        <w:t xml:space="preserve">Funkcionalni </w:t>
      </w:r>
      <w:r w:rsidR="00A67C95" w:rsidRPr="00F17E37">
        <w:rPr>
          <w:lang w:val="sr-Latn-CS"/>
        </w:rPr>
        <w:t>rashodi</w:t>
      </w:r>
      <w:bookmarkEnd w:id="63"/>
    </w:p>
    <w:p w:rsidR="00A62FA3" w:rsidRPr="00F17E37" w:rsidRDefault="00FE240D" w:rsidP="00E47058">
      <w:pPr>
        <w:pStyle w:val="NoSpacing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tbl>
      <w:tblPr>
        <w:tblW w:w="8870" w:type="dxa"/>
        <w:tblInd w:w="93" w:type="dxa"/>
        <w:tblLook w:val="04A0" w:firstRow="1" w:lastRow="0" w:firstColumn="1" w:lastColumn="0" w:noHBand="0" w:noVBand="1"/>
      </w:tblPr>
      <w:tblGrid>
        <w:gridCol w:w="3399"/>
        <w:gridCol w:w="800"/>
        <w:gridCol w:w="421"/>
        <w:gridCol w:w="261"/>
        <w:gridCol w:w="1323"/>
        <w:gridCol w:w="1217"/>
        <w:gridCol w:w="743"/>
        <w:gridCol w:w="706"/>
      </w:tblGrid>
      <w:tr w:rsidR="006013CB" w:rsidRPr="00F17E37" w:rsidTr="006013CB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64902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64902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6013CB" w:rsidRPr="00F17E37" w:rsidTr="006013CB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Doprinos za preventivu 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22.308,07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18.539,25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4,59</w:t>
            </w:r>
          </w:p>
        </w:tc>
      </w:tr>
      <w:tr w:rsidR="006013CB" w:rsidRPr="00F17E37" w:rsidTr="006013CB">
        <w:trPr>
          <w:trHeight w:val="358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 doprinos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7.241,53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ind w:left="-250" w:right="-25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6.6.756,42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6013CB" w:rsidRPr="00F17E37" w:rsidTr="006013CB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Zaštitnom fondu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228.613,20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231.536,88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47,07</w:t>
            </w:r>
          </w:p>
        </w:tc>
      </w:tr>
      <w:tr w:rsidR="006013CB" w:rsidRPr="00F17E37" w:rsidTr="006013CB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 naknadu šteta BZK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13.793,83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14.632,00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2,84</w:t>
            </w:r>
          </w:p>
        </w:tc>
      </w:tr>
      <w:tr w:rsidR="00A62FA3" w:rsidRPr="00F17E37" w:rsidTr="006013CB">
        <w:trPr>
          <w:trHeight w:val="358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Dodatna sredstva preventive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158.161,05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151.368,84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32,57</w:t>
            </w:r>
          </w:p>
        </w:tc>
      </w:tr>
      <w:tr w:rsidR="006013CB" w:rsidRPr="00F17E37" w:rsidTr="006013CB">
        <w:trPr>
          <w:trHeight w:val="358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 zaštita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43.424,36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41.033,42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8,94</w:t>
            </w:r>
          </w:p>
        </w:tc>
      </w:tr>
      <w:tr w:rsidR="006013CB" w:rsidRPr="00F17E37" w:rsidTr="006013CB">
        <w:trPr>
          <w:trHeight w:val="358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 za PZO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2785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12.105,62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9.020,56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</w:t>
            </w:r>
            <w:r w:rsidR="00322D4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013CB" w:rsidRPr="00F17E37" w:rsidTr="006013CB">
        <w:trPr>
          <w:trHeight w:val="35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485.647,66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64902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472.887,37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72108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172108" w:rsidP="0087719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3CB" w:rsidRPr="00F17E37" w:rsidRDefault="00E4705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1732FB" w:rsidRPr="00F17E37">
        <w:rPr>
          <w:rFonts w:asciiTheme="majorHAnsi" w:hAnsiTheme="majorHAnsi"/>
        </w:rPr>
        <w:t xml:space="preserve">  </w:t>
      </w:r>
    </w:p>
    <w:p w:rsidR="00A62FA3" w:rsidRPr="00F17E37" w:rsidRDefault="006013CB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</w:t>
      </w:r>
      <w:r w:rsidR="00A62FA3" w:rsidRPr="00F17E37">
        <w:rPr>
          <w:rFonts w:asciiTheme="majorHAnsi" w:hAnsiTheme="majorHAnsi"/>
        </w:rPr>
        <w:t>Doprinos za preventivu je formiran prema Odluci o raspodjeli bruto premije sa maksimalnim stopama režijskog dodatka i to %</w:t>
      </w:r>
      <w:r w:rsidR="00121028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od fakturisane premije  na sve vrste osiguranja osim autoodgovornosti i osiguranja robe u prevozu.</w:t>
      </w:r>
    </w:p>
    <w:p w:rsidR="00A62FA3" w:rsidRPr="00F17E37" w:rsidRDefault="00A62FA3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Doprinos zaštitnom fondu je knjižen po osnovu rešenja Zaštitnog fonda RS. </w:t>
      </w:r>
    </w:p>
    <w:p w:rsidR="00A62FA3" w:rsidRPr="00F17E37" w:rsidRDefault="00E4705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      </w:t>
      </w:r>
      <w:r w:rsidR="00A62FA3" w:rsidRPr="00F17E37">
        <w:rPr>
          <w:rFonts w:asciiTheme="majorHAnsi" w:hAnsiTheme="majorHAnsi"/>
        </w:rPr>
        <w:t>Vatrogasni  doprinos i protivgradna zaštita su formirani po posebnim propisima poreskih organa.</w:t>
      </w:r>
    </w:p>
    <w:p w:rsidR="00A62FA3" w:rsidRPr="00F17E37" w:rsidRDefault="00E47058" w:rsidP="00591E04">
      <w:pPr>
        <w:pStyle w:val="NoSpacing"/>
        <w:spacing w:line="240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</w:t>
      </w:r>
      <w:r w:rsidR="001732FB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 Po osnovu zakona o obaveznim osiguranjima u saobraćaju </w:t>
      </w:r>
      <w:r w:rsidR="00121028">
        <w:rPr>
          <w:rFonts w:asciiTheme="majorHAnsi" w:hAnsiTheme="majorHAnsi"/>
        </w:rPr>
        <w:t>od</w:t>
      </w:r>
      <w:r w:rsidR="00A62FA3" w:rsidRPr="00F17E37">
        <w:rPr>
          <w:rFonts w:asciiTheme="majorHAnsi" w:hAnsiTheme="majorHAnsi"/>
        </w:rPr>
        <w:t xml:space="preserve"> 2016.g.s</w:t>
      </w:r>
      <w:r w:rsidR="00121028">
        <w:rPr>
          <w:rFonts w:asciiTheme="majorHAnsi" w:hAnsiTheme="majorHAnsi"/>
        </w:rPr>
        <w:t>e</w:t>
      </w:r>
      <w:r w:rsidR="00A62FA3" w:rsidRPr="00F17E37">
        <w:rPr>
          <w:rFonts w:asciiTheme="majorHAnsi" w:hAnsiTheme="majorHAnsi"/>
        </w:rPr>
        <w:t xml:space="preserve"> izdvoj</w:t>
      </w:r>
      <w:r w:rsidR="00121028">
        <w:rPr>
          <w:rFonts w:asciiTheme="majorHAnsi" w:hAnsiTheme="majorHAnsi"/>
        </w:rPr>
        <w:t>aju</w:t>
      </w:r>
      <w:r w:rsidR="00A62FA3" w:rsidRPr="00F17E37">
        <w:rPr>
          <w:rFonts w:asciiTheme="majorHAnsi" w:hAnsiTheme="majorHAnsi"/>
        </w:rPr>
        <w:t xml:space="preserve"> sredstva kao dio preventive za realizaciju projekta unapređenja bezbjednosti saobraćaja</w:t>
      </w:r>
      <w:r w:rsidR="005D56D6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 </w:t>
      </w:r>
      <w:r w:rsidR="005D56D6">
        <w:rPr>
          <w:rFonts w:asciiTheme="majorHAnsi" w:hAnsiTheme="majorHAnsi"/>
        </w:rPr>
        <w:t>U 2017.g.izdvojeno je</w:t>
      </w:r>
      <w:r w:rsidR="00A62FA3" w:rsidRPr="00F17E37">
        <w:rPr>
          <w:rFonts w:asciiTheme="majorHAnsi" w:hAnsiTheme="majorHAnsi"/>
        </w:rPr>
        <w:t xml:space="preserve"> </w:t>
      </w:r>
      <w:r w:rsidR="005D56D6">
        <w:rPr>
          <w:rFonts w:asciiTheme="majorHAnsi" w:hAnsiTheme="majorHAnsi"/>
        </w:rPr>
        <w:t xml:space="preserve">na teret rashoda </w:t>
      </w:r>
      <w:r w:rsidR="00172108" w:rsidRPr="00F17E37">
        <w:rPr>
          <w:rFonts w:asciiTheme="majorHAnsi" w:hAnsiTheme="majorHAnsi"/>
        </w:rPr>
        <w:t>58.161,05</w:t>
      </w:r>
      <w:r w:rsidR="00A62FA3" w:rsidRPr="00F17E37">
        <w:rPr>
          <w:rFonts w:asciiTheme="majorHAnsi" w:hAnsiTheme="majorHAnsi"/>
        </w:rPr>
        <w:t>KM.Sredstav su formirana kao kvartalna obaveza 1%,na premiju autoodgovornosti.</w:t>
      </w:r>
    </w:p>
    <w:p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1</w:t>
      </w:r>
      <w:r w:rsidRPr="00F17E37">
        <w:rPr>
          <w:rFonts w:asciiTheme="majorHAnsi" w:hAnsiTheme="majorHAnsi"/>
          <w:b/>
          <w:u w:val="single"/>
        </w:rPr>
        <w:t>(AOP232)</w:t>
      </w:r>
    </w:p>
    <w:p w:rsidR="00A62FA3" w:rsidRPr="00F17E37" w:rsidRDefault="00A62FA3" w:rsidP="00591E04">
      <w:pPr>
        <w:pStyle w:val="Heading2"/>
        <w:spacing w:after="0"/>
      </w:pPr>
      <w:bookmarkStart w:id="64" w:name="_Toc507483704"/>
      <w:r w:rsidRPr="00F17E37">
        <w:t>Troškovi  šteta</w:t>
      </w:r>
      <w:bookmarkEnd w:id="64"/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3417"/>
        <w:gridCol w:w="869"/>
        <w:gridCol w:w="269"/>
        <w:gridCol w:w="265"/>
        <w:gridCol w:w="1336"/>
        <w:gridCol w:w="1372"/>
        <w:gridCol w:w="1122"/>
        <w:gridCol w:w="878"/>
      </w:tblGrid>
      <w:tr w:rsidR="00A62FA3" w:rsidRPr="00F17E37" w:rsidTr="00AB2F79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F4670F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F4670F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DF617C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62FA3" w:rsidRPr="00F17E37" w:rsidTr="00F4670F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32.863,01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42.672,89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ind w:right="86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ind w:right="86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</w:t>
            </w:r>
            <w:r w:rsidR="00B14653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62FA3" w:rsidRPr="00F17E37" w:rsidTr="00F4670F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ind w:right="-105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osn.putničkog zdrav.osig.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4.956,90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1.986,87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0,1</w:t>
            </w:r>
            <w:r w:rsidR="00B14653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62FA3" w:rsidRPr="00F17E37" w:rsidTr="00F4670F">
        <w:trPr>
          <w:trHeight w:val="318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453.617,41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586.152,66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12,13</w:t>
            </w:r>
          </w:p>
        </w:tc>
      </w:tr>
      <w:tr w:rsidR="00A62FA3" w:rsidRPr="00F17E37" w:rsidTr="00F4670F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3.186.591,6</w:t>
            </w:r>
            <w:r w:rsidR="007C489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</w:t>
            </w:r>
            <w:r w:rsidR="007C489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695.701,18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85,20</w:t>
            </w:r>
          </w:p>
        </w:tc>
      </w:tr>
      <w:tr w:rsidR="00A62FA3" w:rsidRPr="00F17E37" w:rsidTr="00F4670F">
        <w:trPr>
          <w:trHeight w:val="318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im.transport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E1A7A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4.125,62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F4670F">
        <w:trPr>
          <w:trHeight w:val="318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osig im.ostalo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13.741,67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18.939,18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0,3</w:t>
            </w:r>
            <w:r w:rsidR="00B14653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62FA3" w:rsidRPr="00F17E37" w:rsidTr="00F4670F">
        <w:trPr>
          <w:trHeight w:val="318"/>
        </w:trPr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imovina požar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0,0</w:t>
            </w:r>
            <w:r w:rsidR="00B14653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C489B" w:rsidRPr="00F17E37" w:rsidTr="00F4670F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7C489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Štete po osnovu opšte odgovornosti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7C489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7C489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7C489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7C489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1.042,00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89B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89B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A62FA3" w:rsidRPr="00F17E37" w:rsidTr="00F4670F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C7186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="007C489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.072,28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22.395,42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1,2</w:t>
            </w:r>
            <w:r w:rsidR="00B14653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62FA3" w:rsidRPr="00F17E37" w:rsidTr="00F4670F">
        <w:trPr>
          <w:trHeight w:val="3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3.739.204,89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F4670F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4.371.973,82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C1ADB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9B5647" w:rsidP="00C1597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6013CB" w:rsidRPr="00F17E37" w:rsidRDefault="00555334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Trškovi šteta  u iznosu od </w:t>
      </w:r>
      <w:r w:rsidR="009B5647" w:rsidRPr="00F17E37">
        <w:rPr>
          <w:rFonts w:asciiTheme="majorHAnsi" w:hAnsiTheme="majorHAnsi"/>
        </w:rPr>
        <w:t>3.739.204,89KM</w:t>
      </w:r>
      <w:r w:rsidR="00A62FA3" w:rsidRPr="00F17E37">
        <w:rPr>
          <w:rFonts w:asciiTheme="majorHAnsi" w:hAnsiTheme="majorHAnsi"/>
        </w:rPr>
        <w:t xml:space="preserve"> su </w:t>
      </w:r>
      <w:r w:rsidR="009B5647" w:rsidRPr="00F17E37">
        <w:rPr>
          <w:rFonts w:asciiTheme="majorHAnsi" w:hAnsiTheme="majorHAnsi"/>
        </w:rPr>
        <w:t>manje</w:t>
      </w:r>
      <w:r w:rsidR="00A62FA3" w:rsidRPr="00F17E37">
        <w:rPr>
          <w:rFonts w:asciiTheme="majorHAnsi" w:hAnsiTheme="majorHAnsi"/>
        </w:rPr>
        <w:t xml:space="preserve"> u odnosu na predhodnu godinu za </w:t>
      </w:r>
      <w:r w:rsidR="009B5647" w:rsidRPr="00F17E37">
        <w:rPr>
          <w:rFonts w:asciiTheme="majorHAnsi" w:hAnsiTheme="majorHAnsi"/>
        </w:rPr>
        <w:t>14</w:t>
      </w:r>
      <w:r w:rsidR="00A62FA3" w:rsidRPr="00F17E37">
        <w:rPr>
          <w:rFonts w:asciiTheme="majorHAnsi" w:hAnsiTheme="majorHAnsi"/>
        </w:rPr>
        <w:t>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toku godine je prijavljeno 1</w:t>
      </w:r>
      <w:r w:rsidR="00C03043" w:rsidRPr="00F17E37">
        <w:rPr>
          <w:rFonts w:asciiTheme="majorHAnsi" w:hAnsiTheme="majorHAnsi"/>
        </w:rPr>
        <w:t>878</w:t>
      </w:r>
      <w:r w:rsidRPr="00F17E37">
        <w:rPr>
          <w:rFonts w:asciiTheme="majorHAnsi" w:hAnsiTheme="majorHAnsi"/>
        </w:rPr>
        <w:t xml:space="preserve"> šteta,od čega 1</w:t>
      </w:r>
      <w:r w:rsidR="00C03043" w:rsidRPr="00F17E37">
        <w:rPr>
          <w:rFonts w:asciiTheme="majorHAnsi" w:hAnsiTheme="majorHAnsi"/>
        </w:rPr>
        <w:t>517</w:t>
      </w:r>
      <w:r w:rsidRPr="00F17E37">
        <w:rPr>
          <w:rFonts w:asciiTheme="majorHAnsi" w:hAnsiTheme="majorHAnsi"/>
        </w:rPr>
        <w:t xml:space="preserve"> je prijavljeno prvi put , </w:t>
      </w:r>
      <w:r w:rsidR="00F6227C" w:rsidRPr="00F17E37">
        <w:rPr>
          <w:rFonts w:asciiTheme="majorHAnsi" w:hAnsiTheme="majorHAnsi"/>
        </w:rPr>
        <w:t>73</w:t>
      </w:r>
      <w:r w:rsidRPr="00F17E37">
        <w:rPr>
          <w:rFonts w:asciiTheme="majorHAnsi" w:hAnsiTheme="majorHAnsi"/>
        </w:rPr>
        <w:t xml:space="preserve">je reaktivirano šteta a </w:t>
      </w:r>
      <w:r w:rsidR="00F6227C" w:rsidRPr="00F17E37">
        <w:rPr>
          <w:rFonts w:asciiTheme="majorHAnsi" w:hAnsiTheme="majorHAnsi"/>
        </w:rPr>
        <w:t>288</w:t>
      </w:r>
      <w:r w:rsidRPr="00F17E37">
        <w:rPr>
          <w:rFonts w:asciiTheme="majorHAnsi" w:hAnsiTheme="majorHAnsi"/>
        </w:rPr>
        <w:t xml:space="preserve"> šteta je iz rezervacije,tako da su ukupno prijvljene i ukupno rezervisane 1</w:t>
      </w:r>
      <w:r w:rsidR="00F6227C" w:rsidRPr="00F17E37">
        <w:rPr>
          <w:rFonts w:asciiTheme="majorHAnsi" w:hAnsiTheme="majorHAnsi"/>
        </w:rPr>
        <w:t xml:space="preserve">878 </w:t>
      </w:r>
      <w:r w:rsidRPr="00F17E37">
        <w:rPr>
          <w:rFonts w:asciiTheme="majorHAnsi" w:hAnsiTheme="majorHAnsi"/>
        </w:rPr>
        <w:t>štete.</w:t>
      </w:r>
    </w:p>
    <w:p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U redovnom postupku je riješeno 1</w:t>
      </w:r>
      <w:r w:rsidR="00A601F0" w:rsidRPr="00F17E37">
        <w:rPr>
          <w:rFonts w:asciiTheme="majorHAnsi" w:hAnsiTheme="majorHAnsi"/>
        </w:rPr>
        <w:t>343</w:t>
      </w:r>
      <w:r w:rsidRPr="00F17E37">
        <w:rPr>
          <w:rFonts w:asciiTheme="majorHAnsi" w:hAnsiTheme="majorHAnsi"/>
        </w:rPr>
        <w:t xml:space="preserve"> štete,</w:t>
      </w:r>
      <w:r w:rsidR="00A601F0" w:rsidRPr="00F17E37">
        <w:rPr>
          <w:rFonts w:asciiTheme="majorHAnsi" w:hAnsiTheme="majorHAnsi"/>
        </w:rPr>
        <w:t>49</w:t>
      </w:r>
      <w:r w:rsidRPr="00F17E37">
        <w:rPr>
          <w:rFonts w:asciiTheme="majorHAnsi" w:hAnsiTheme="majorHAnsi"/>
        </w:rPr>
        <w:t xml:space="preserve"> šteta iz spora,tako da je ukupno riješeno 1</w:t>
      </w:r>
      <w:r w:rsidR="00A601F0" w:rsidRPr="00F17E37">
        <w:rPr>
          <w:rFonts w:asciiTheme="majorHAnsi" w:hAnsiTheme="majorHAnsi"/>
        </w:rPr>
        <w:t>392</w:t>
      </w:r>
      <w:r w:rsidRPr="00F17E37">
        <w:rPr>
          <w:rFonts w:asciiTheme="majorHAnsi" w:hAnsiTheme="majorHAnsi"/>
        </w:rPr>
        <w:t xml:space="preserve"> šteta a odbijeno je 13</w:t>
      </w:r>
      <w:r w:rsidR="00A601F0" w:rsidRPr="00F17E37">
        <w:rPr>
          <w:rFonts w:asciiTheme="majorHAnsi" w:hAnsiTheme="majorHAnsi"/>
        </w:rPr>
        <w:t>3</w:t>
      </w:r>
      <w:r w:rsidRPr="00F17E37">
        <w:rPr>
          <w:rFonts w:asciiTheme="majorHAnsi" w:hAnsiTheme="majorHAnsi"/>
        </w:rPr>
        <w:t xml:space="preserve"> štete. Na kraju perioda je rezervisano </w:t>
      </w:r>
      <w:r w:rsidR="00A601F0" w:rsidRPr="00F17E37">
        <w:rPr>
          <w:rFonts w:asciiTheme="majorHAnsi" w:hAnsiTheme="majorHAnsi"/>
        </w:rPr>
        <w:t>353</w:t>
      </w:r>
      <w:r w:rsidRPr="00F17E37">
        <w:rPr>
          <w:rFonts w:asciiTheme="majorHAnsi" w:hAnsiTheme="majorHAnsi"/>
        </w:rPr>
        <w:t xml:space="preserve"> šteta.</w:t>
      </w:r>
    </w:p>
    <w:p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U strukturi šteta najveće učešće imaju štete po osnovu autoodgovornosti sa rentnim štetama </w:t>
      </w:r>
      <w:r w:rsidR="00A601F0" w:rsidRPr="00F17E37">
        <w:rPr>
          <w:rFonts w:asciiTheme="majorHAnsi" w:hAnsiTheme="majorHAnsi"/>
        </w:rPr>
        <w:t>85,20</w:t>
      </w:r>
      <w:r w:rsidRPr="00F17E37">
        <w:rPr>
          <w:rFonts w:asciiTheme="majorHAnsi" w:hAnsiTheme="majorHAnsi"/>
        </w:rPr>
        <w:t xml:space="preserve">% i kaska </w:t>
      </w:r>
      <w:r w:rsidR="00A601F0" w:rsidRPr="00F17E37">
        <w:rPr>
          <w:rFonts w:asciiTheme="majorHAnsi" w:hAnsiTheme="majorHAnsi"/>
        </w:rPr>
        <w:t>12,13</w:t>
      </w:r>
      <w:r w:rsidR="00555334" w:rsidRPr="00F17E37">
        <w:rPr>
          <w:rFonts w:asciiTheme="majorHAnsi" w:hAnsiTheme="majorHAnsi"/>
        </w:rPr>
        <w:t>%.</w:t>
      </w:r>
      <w:r w:rsidRPr="00F17E37">
        <w:rPr>
          <w:rFonts w:asciiTheme="majorHAnsi" w:hAnsiTheme="majorHAnsi"/>
        </w:rPr>
        <w:t>Stepen efikasnosti u rješavanju šteta je 1</w:t>
      </w:r>
      <w:r w:rsidR="00A601F0" w:rsidRPr="00F17E37">
        <w:rPr>
          <w:rFonts w:asciiTheme="majorHAnsi" w:hAnsiTheme="majorHAnsi"/>
        </w:rPr>
        <w:t>525</w:t>
      </w:r>
      <w:r w:rsidRPr="00F17E37">
        <w:rPr>
          <w:rFonts w:asciiTheme="majorHAnsi" w:hAnsiTheme="majorHAnsi"/>
        </w:rPr>
        <w:t>/1</w:t>
      </w:r>
      <w:r w:rsidR="00A601F0" w:rsidRPr="00F17E37">
        <w:rPr>
          <w:rFonts w:asciiTheme="majorHAnsi" w:hAnsiTheme="majorHAnsi"/>
        </w:rPr>
        <w:t>878</w:t>
      </w:r>
      <w:r w:rsidRPr="00F17E37">
        <w:rPr>
          <w:rFonts w:asciiTheme="majorHAnsi" w:hAnsiTheme="majorHAnsi"/>
        </w:rPr>
        <w:t xml:space="preserve"> je 8</w:t>
      </w:r>
      <w:r w:rsidR="00A601F0" w:rsidRPr="00F17E37">
        <w:rPr>
          <w:rFonts w:asciiTheme="majorHAnsi" w:hAnsiTheme="majorHAnsi"/>
        </w:rPr>
        <w:t>1</w:t>
      </w:r>
      <w:r w:rsidRPr="00F17E37">
        <w:rPr>
          <w:rFonts w:asciiTheme="majorHAnsi" w:hAnsiTheme="majorHAnsi"/>
        </w:rPr>
        <w:t>,2</w:t>
      </w:r>
      <w:r w:rsidR="00A601F0" w:rsidRPr="00F17E37">
        <w:rPr>
          <w:rFonts w:asciiTheme="majorHAnsi" w:hAnsiTheme="majorHAnsi"/>
        </w:rPr>
        <w:t>0</w:t>
      </w:r>
      <w:r w:rsidRPr="00F17E37">
        <w:rPr>
          <w:rFonts w:asciiTheme="majorHAnsi" w:hAnsiTheme="majorHAnsi"/>
        </w:rPr>
        <w:t>%.</w:t>
      </w:r>
    </w:p>
    <w:p w:rsidR="009767AA" w:rsidRPr="00F17E37" w:rsidRDefault="00A62FA3" w:rsidP="00C11ACB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Stepen efikasnosti u plaćanju šteta je 100%,tako da su ukupno likvidirane u</w:t>
      </w:r>
      <w:r w:rsidR="00462003" w:rsidRPr="00F17E37">
        <w:rPr>
          <w:rFonts w:asciiTheme="majorHAnsi" w:hAnsiTheme="majorHAnsi"/>
        </w:rPr>
        <w:t>jedno i ukupno isplaćene štete.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2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:rsidR="00A62FA3" w:rsidRPr="00F17E37" w:rsidRDefault="00A62FA3" w:rsidP="00591E04">
      <w:pPr>
        <w:pStyle w:val="Heading2"/>
        <w:spacing w:after="0"/>
      </w:pPr>
      <w:bookmarkStart w:id="65" w:name="_Toc507483705"/>
      <w:r w:rsidRPr="00F17E37">
        <w:t>Rashodi po osnovu premije reosiguranja</w:t>
      </w:r>
      <w:bookmarkEnd w:id="65"/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1128"/>
      </w:tblGrid>
      <w:tr w:rsidR="00A62FA3" w:rsidRPr="00F17E37" w:rsidTr="00371A1E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EA36B3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DD1391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DD1391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247.363,22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D13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252.693,53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098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555.712,83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D13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204.843,17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271</w:t>
            </w:r>
          </w:p>
        </w:tc>
      </w:tr>
      <w:tr w:rsidR="00A62FA3" w:rsidRPr="00F17E37" w:rsidTr="00DD1391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 rashodi reosiguranja: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803.076,05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D13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457.536,70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176</w:t>
            </w:r>
          </w:p>
        </w:tc>
      </w:tr>
      <w:tr w:rsidR="00A62FA3" w:rsidRPr="00F17E37" w:rsidTr="00DD1391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-143.155,60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D13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-1.916,62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A62FA3" w:rsidRPr="00F17E37" w:rsidTr="00DD1391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659.920,45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D1391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455.620,08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C4F49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</w:t>
            </w:r>
          </w:p>
        </w:tc>
      </w:tr>
    </w:tbl>
    <w:p w:rsidR="00B66FBD" w:rsidRPr="00F17E37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:rsidR="00A62FA3" w:rsidRPr="00F17E37" w:rsidRDefault="00B66FBD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>Za obračunski period 31.12.201</w:t>
      </w:r>
      <w:r w:rsidR="00EC4F49" w:rsidRPr="00F17E37">
        <w:rPr>
          <w:rFonts w:asciiTheme="majorHAnsi" w:hAnsiTheme="majorHAnsi"/>
        </w:rPr>
        <w:t>7</w:t>
      </w:r>
      <w:r w:rsidR="00A62FA3" w:rsidRPr="00F17E37">
        <w:rPr>
          <w:rFonts w:asciiTheme="majorHAnsi" w:hAnsiTheme="majorHAnsi"/>
        </w:rPr>
        <w:t xml:space="preserve">.g.u skladu sa Pravilnikom o tehničkim rezervama je utvrđena prenosna premija reosiguranja,tako da su troškovi reosiguranja umanjeni za </w:t>
      </w:r>
      <w:r w:rsidR="00EC4F49" w:rsidRPr="00F17E37">
        <w:rPr>
          <w:rFonts w:asciiTheme="majorHAnsi" w:hAnsiTheme="majorHAnsi"/>
        </w:rPr>
        <w:t>143</w:t>
      </w:r>
      <w:r w:rsidR="00A62FA3" w:rsidRPr="00F17E37">
        <w:rPr>
          <w:rFonts w:asciiTheme="majorHAnsi" w:hAnsiTheme="majorHAnsi"/>
        </w:rPr>
        <w:t>.</w:t>
      </w:r>
      <w:r w:rsidR="00EC4F49" w:rsidRPr="00F17E37">
        <w:rPr>
          <w:rFonts w:asciiTheme="majorHAnsi" w:hAnsiTheme="majorHAnsi"/>
        </w:rPr>
        <w:t>155,60KM.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 xml:space="preserve"> U odnosu na predhodnu godinu</w:t>
      </w:r>
      <w:r w:rsidR="00EC4F49" w:rsidRPr="00F17E37">
        <w:rPr>
          <w:rFonts w:asciiTheme="majorHAnsi" w:hAnsiTheme="majorHAnsi"/>
        </w:rPr>
        <w:t xml:space="preserve"> sami </w:t>
      </w:r>
      <w:r w:rsidRPr="00F17E37">
        <w:rPr>
          <w:rFonts w:asciiTheme="majorHAnsi" w:hAnsiTheme="majorHAnsi"/>
        </w:rPr>
        <w:t xml:space="preserve"> rashodi reosiguranja </w:t>
      </w:r>
      <w:r w:rsidR="00EC4F49" w:rsidRPr="00F17E37">
        <w:rPr>
          <w:rFonts w:asciiTheme="majorHAnsi" w:hAnsiTheme="majorHAnsi"/>
        </w:rPr>
        <w:t xml:space="preserve">su veći za 76% jer </w:t>
      </w:r>
      <w:r w:rsidR="00B75E97" w:rsidRPr="00F17E37">
        <w:rPr>
          <w:rFonts w:asciiTheme="majorHAnsi" w:hAnsiTheme="majorHAnsi"/>
        </w:rPr>
        <w:t>je</w:t>
      </w:r>
      <w:r w:rsidR="00EC4F49" w:rsidRPr="00F17E37">
        <w:rPr>
          <w:rFonts w:asciiTheme="majorHAnsi" w:hAnsiTheme="majorHAnsi"/>
        </w:rPr>
        <w:t xml:space="preserve"> u  2017</w:t>
      </w:r>
      <w:r w:rsidRPr="00F17E37">
        <w:rPr>
          <w:rFonts w:asciiTheme="majorHAnsi" w:hAnsiTheme="majorHAnsi"/>
        </w:rPr>
        <w:t>.</w:t>
      </w:r>
      <w:r w:rsidR="00EC4F49" w:rsidRPr="00F17E37">
        <w:rPr>
          <w:rFonts w:asciiTheme="majorHAnsi" w:hAnsiTheme="majorHAnsi"/>
        </w:rPr>
        <w:t xml:space="preserve">g. </w:t>
      </w:r>
      <w:r w:rsidR="00B75E97" w:rsidRPr="00F17E37">
        <w:rPr>
          <w:rFonts w:asciiTheme="majorHAnsi" w:hAnsiTheme="majorHAnsi"/>
        </w:rPr>
        <w:t>zaključen ugovor o reosiguranju za pokriće rizika kaska.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3</w:t>
      </w:r>
      <w:r w:rsidRPr="00F17E37">
        <w:rPr>
          <w:rFonts w:asciiTheme="majorHAnsi" w:hAnsiTheme="majorHAnsi"/>
          <w:b/>
          <w:u w:val="single"/>
        </w:rPr>
        <w:t>(AOP 235)</w:t>
      </w:r>
    </w:p>
    <w:p w:rsidR="00A62FA3" w:rsidRPr="00F17E37" w:rsidRDefault="00A62FA3" w:rsidP="00591E04">
      <w:pPr>
        <w:pStyle w:val="Heading2"/>
        <w:spacing w:after="0"/>
      </w:pPr>
      <w:bookmarkStart w:id="66" w:name="_Toc507483706"/>
      <w:r w:rsidRPr="00F17E37">
        <w:t>Troškovi rezervacije šteta</w:t>
      </w:r>
      <w:bookmarkEnd w:id="66"/>
    </w:p>
    <w:p w:rsidR="00A62FA3" w:rsidRPr="00F17E37" w:rsidRDefault="001732FB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</w:t>
      </w:r>
      <w:r w:rsidR="00A62FA3" w:rsidRPr="00F17E37">
        <w:rPr>
          <w:rFonts w:asciiTheme="majorHAnsi" w:hAnsiTheme="majorHAnsi"/>
        </w:rPr>
        <w:t>Rezervacija šteta je urađena prema Pravilniku o rezervacijama šteta.</w:t>
      </w:r>
    </w:p>
    <w:p w:rsidR="00A62FA3" w:rsidRPr="00F17E37" w:rsidRDefault="00A62FA3" w:rsidP="00C11ACB">
      <w:pPr>
        <w:pStyle w:val="NoSpacing"/>
        <w:tabs>
          <w:tab w:val="left" w:pos="5245"/>
        </w:tabs>
        <w:spacing w:after="240"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U iznosu razlike rezervacija šteta na početku i na kraju obračunskog perioda terećeni su  poslovni rashodi po osnovu rezervacija šteta u iznosu od </w:t>
      </w:r>
      <w:r w:rsidR="00CB58B6" w:rsidRPr="00F17E37">
        <w:rPr>
          <w:rFonts w:asciiTheme="majorHAnsi" w:hAnsiTheme="majorHAnsi"/>
        </w:rPr>
        <w:t>671.778,47</w:t>
      </w:r>
      <w:r w:rsidRPr="00F17E37">
        <w:rPr>
          <w:rFonts w:asciiTheme="majorHAnsi" w:hAnsiTheme="majorHAnsi"/>
        </w:rPr>
        <w:t xml:space="preserve"> KM.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760"/>
        <w:gridCol w:w="896"/>
        <w:gridCol w:w="640"/>
        <w:gridCol w:w="1039"/>
        <w:gridCol w:w="1355"/>
        <w:gridCol w:w="1413"/>
        <w:gridCol w:w="1401"/>
      </w:tblGrid>
      <w:tr w:rsidR="00A62FA3" w:rsidRPr="00F17E37" w:rsidTr="006013CB">
        <w:trPr>
          <w:trHeight w:val="28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D84869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390929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A62FA3" w:rsidRPr="00F17E37" w:rsidTr="006013CB">
        <w:trPr>
          <w:trHeight w:val="287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nezgode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45.463,19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553AF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52.607,81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-7.144,62</w:t>
            </w:r>
          </w:p>
        </w:tc>
      </w:tr>
      <w:tr w:rsidR="00A62FA3" w:rsidRPr="00F17E37" w:rsidTr="006013CB">
        <w:trPr>
          <w:trHeight w:val="287"/>
        </w:trPr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PZO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8.627,77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553AF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1.640,51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6.987,26</w:t>
            </w:r>
          </w:p>
        </w:tc>
      </w:tr>
      <w:tr w:rsidR="00A62FA3" w:rsidRPr="00F17E37" w:rsidTr="006013CB">
        <w:trPr>
          <w:trHeight w:val="287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 po osnovu kaska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303.578,72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553AF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426.625,59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-123.046,87</w:t>
            </w:r>
          </w:p>
        </w:tc>
      </w:tr>
      <w:tr w:rsidR="00A62FA3" w:rsidRPr="00F17E37" w:rsidTr="006013CB">
        <w:trPr>
          <w:trHeight w:val="273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AO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8.205.496,25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553AF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7.615.342,26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ind w:left="-263" w:right="-108" w:firstLine="263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590.153,99</w:t>
            </w:r>
          </w:p>
        </w:tc>
      </w:tr>
      <w:tr w:rsidR="00A62FA3" w:rsidRPr="00F17E37" w:rsidTr="006013CB">
        <w:trPr>
          <w:trHeight w:val="273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imovine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206.474,56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553AF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1.645,85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204.828,71</w:t>
            </w:r>
          </w:p>
        </w:tc>
      </w:tr>
      <w:tr w:rsidR="00A62FA3" w:rsidRPr="00F17E37" w:rsidTr="006013CB">
        <w:trPr>
          <w:trHeight w:val="2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6013C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8.769.640,49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553AF" w:rsidP="006013C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8.097.862.02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64A60" w:rsidP="006013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671.778,47</w:t>
            </w:r>
          </w:p>
        </w:tc>
      </w:tr>
    </w:tbl>
    <w:p w:rsidR="006013CB" w:rsidRPr="00F17E37" w:rsidRDefault="00C11A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p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     </w:t>
      </w:r>
      <w:r w:rsidR="001732F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Rezervacija šteta se sastoji iz rezervacije prijavljenih šteta u iznosu od </w:t>
      </w:r>
      <w:r w:rsidR="003D5754" w:rsidRPr="00F17E37">
        <w:rPr>
          <w:rFonts w:asciiTheme="majorHAnsi" w:hAnsiTheme="majorHAnsi"/>
        </w:rPr>
        <w:t>5.622.652,66</w:t>
      </w:r>
      <w:r w:rsidR="00A62FA3" w:rsidRPr="00F17E37">
        <w:rPr>
          <w:rFonts w:asciiTheme="majorHAnsi" w:hAnsiTheme="majorHAnsi"/>
        </w:rPr>
        <w:t xml:space="preserve"> KM i nastalih a do 31.12.201</w:t>
      </w:r>
      <w:r w:rsidR="003D5754" w:rsidRPr="00F17E37">
        <w:rPr>
          <w:rFonts w:asciiTheme="majorHAnsi" w:hAnsiTheme="majorHAnsi"/>
        </w:rPr>
        <w:t>7</w:t>
      </w:r>
      <w:r w:rsidR="00A62FA3" w:rsidRPr="00F17E37">
        <w:rPr>
          <w:rFonts w:asciiTheme="majorHAnsi" w:hAnsiTheme="majorHAnsi"/>
        </w:rPr>
        <w:t xml:space="preserve">.g.ne prijavljenih šteta u iznosu od </w:t>
      </w:r>
      <w:r w:rsidR="003D5754" w:rsidRPr="00F17E37">
        <w:rPr>
          <w:rFonts w:asciiTheme="majorHAnsi" w:hAnsiTheme="majorHAnsi"/>
        </w:rPr>
        <w:t>3.146.987,8</w:t>
      </w:r>
      <w:r w:rsidR="00094E23" w:rsidRPr="00F17E37">
        <w:rPr>
          <w:rFonts w:asciiTheme="majorHAnsi" w:hAnsiTheme="majorHAnsi"/>
        </w:rPr>
        <w:t>3</w:t>
      </w:r>
      <w:r w:rsidR="003D5754" w:rsidRPr="00F17E37">
        <w:rPr>
          <w:rFonts w:asciiTheme="majorHAnsi" w:hAnsiTheme="majorHAnsi"/>
        </w:rPr>
        <w:t>KM</w:t>
      </w:r>
      <w:r w:rsidR="00A62FA3" w:rsidRPr="00F17E37">
        <w:rPr>
          <w:rFonts w:asciiTheme="majorHAnsi" w:hAnsiTheme="majorHAnsi"/>
        </w:rPr>
        <w:t>,tako da je ukupna rezervacija  sa stanjem na dan 31.12.201</w:t>
      </w:r>
      <w:r w:rsidR="003D5754" w:rsidRPr="00F17E37">
        <w:rPr>
          <w:rFonts w:asciiTheme="majorHAnsi" w:hAnsiTheme="majorHAnsi"/>
        </w:rPr>
        <w:t>7</w:t>
      </w:r>
      <w:r w:rsidR="00A62FA3" w:rsidRPr="00F17E37">
        <w:rPr>
          <w:rFonts w:asciiTheme="majorHAnsi" w:hAnsiTheme="majorHAnsi"/>
        </w:rPr>
        <w:t>.g. 8.</w:t>
      </w:r>
      <w:r w:rsidR="003D5754" w:rsidRPr="00F17E37">
        <w:rPr>
          <w:rFonts w:asciiTheme="majorHAnsi" w:hAnsiTheme="majorHAnsi"/>
        </w:rPr>
        <w:t>769.640,49</w:t>
      </w:r>
      <w:r w:rsidR="00A62FA3" w:rsidRPr="00F17E37">
        <w:rPr>
          <w:rFonts w:asciiTheme="majorHAnsi" w:hAnsiTheme="majorHAnsi"/>
        </w:rPr>
        <w:t xml:space="preserve"> KM.</w:t>
      </w:r>
    </w:p>
    <w:p w:rsidR="00C11ACB" w:rsidRPr="00F17E37" w:rsidRDefault="00C11ACB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4</w:t>
      </w:r>
      <w:r w:rsidRPr="00F17E37">
        <w:rPr>
          <w:rFonts w:asciiTheme="majorHAnsi" w:hAnsiTheme="majorHAnsi"/>
          <w:b/>
          <w:u w:val="single"/>
        </w:rPr>
        <w:t>(AOP236</w:t>
      </w:r>
      <w:r w:rsidRPr="00F17E37">
        <w:rPr>
          <w:rFonts w:asciiTheme="majorHAnsi" w:hAnsiTheme="majorHAnsi"/>
        </w:rPr>
        <w:t>)</w:t>
      </w:r>
    </w:p>
    <w:p w:rsidR="00A62FA3" w:rsidRPr="00F17E37" w:rsidRDefault="00A62FA3" w:rsidP="00052885">
      <w:pPr>
        <w:pStyle w:val="Heading2"/>
        <w:spacing w:after="0"/>
      </w:pPr>
      <w:bookmarkStart w:id="67" w:name="_Toc507483707"/>
      <w:r w:rsidRPr="00F17E37">
        <w:t>Troškovi sprovođenja osiguranja</w:t>
      </w:r>
      <w:bookmarkEnd w:id="67"/>
    </w:p>
    <w:p w:rsidR="00A62FA3" w:rsidRPr="00F17E37" w:rsidRDefault="00A62FA3" w:rsidP="00F75656">
      <w:pPr>
        <w:pStyle w:val="NoSpacing"/>
        <w:tabs>
          <w:tab w:val="left" w:pos="5245"/>
        </w:tabs>
        <w:spacing w:line="276" w:lineRule="auto"/>
        <w:ind w:left="578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Troškovi</w:t>
      </w:r>
      <w:r w:rsidR="00F7565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sprovođenja osiguranja su ograničeni iznosom režijskog dodatka.Režijski dodatak kao ograničavajući okvir, visine troškova sprovođenja osiguranja je utvrđen u skladu sa Odlukom o raspodjeli bruto premije sa maksimalnim stopama režijskog dodataka.Ostvareni režijski dodatak u 201</w:t>
      </w:r>
      <w:r w:rsidR="00C62634" w:rsidRPr="00F17E37">
        <w:rPr>
          <w:rFonts w:asciiTheme="majorHAnsi" w:hAnsiTheme="majorHAnsi"/>
        </w:rPr>
        <w:t>7</w:t>
      </w:r>
      <w:r w:rsidRPr="00F17E37">
        <w:rPr>
          <w:rFonts w:asciiTheme="majorHAnsi" w:hAnsiTheme="majorHAnsi"/>
        </w:rPr>
        <w:t>.g.iznosi: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Režijski dodatak                                         </w:t>
      </w:r>
      <w:r w:rsidR="0010236E" w:rsidRPr="00F17E37">
        <w:rPr>
          <w:rFonts w:asciiTheme="majorHAnsi" w:hAnsiTheme="majorHAnsi"/>
        </w:rPr>
        <w:t>5.068.668,69</w:t>
      </w:r>
    </w:p>
    <w:p w:rsidR="00A62FA3" w:rsidRPr="00F17E37" w:rsidRDefault="00A62FA3" w:rsidP="00671B3F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</w:rPr>
        <w:t xml:space="preserve">Troškovi sprovođenja osiguranja        </w:t>
      </w:r>
      <w:r w:rsidR="0010236E" w:rsidRPr="00F17E37">
        <w:rPr>
          <w:rFonts w:asciiTheme="majorHAnsi" w:hAnsiTheme="majorHAnsi"/>
          <w:u w:val="single"/>
        </w:rPr>
        <w:t>-3.053.48</w:t>
      </w:r>
      <w:r w:rsidR="00135756" w:rsidRPr="00F17E37">
        <w:rPr>
          <w:rFonts w:asciiTheme="majorHAnsi" w:hAnsiTheme="majorHAnsi"/>
          <w:u w:val="single"/>
        </w:rPr>
        <w:t>3,60</w:t>
      </w:r>
    </w:p>
    <w:p w:rsidR="00135756" w:rsidRPr="00F17E37" w:rsidRDefault="00135756" w:rsidP="00370EED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                                                                               2.015.185,09</w:t>
      </w:r>
    </w:p>
    <w:p w:rsidR="00A62FA3" w:rsidRPr="00F17E37" w:rsidRDefault="00A62FA3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Troškovi </w:t>
      </w:r>
      <w:r w:rsidR="00F75656">
        <w:rPr>
          <w:rFonts w:asciiTheme="majorHAnsi" w:hAnsiTheme="majorHAnsi"/>
        </w:rPr>
        <w:t xml:space="preserve">sprovođenja osiguranje </w:t>
      </w:r>
      <w:r w:rsidRPr="00F17E37">
        <w:rPr>
          <w:rFonts w:asciiTheme="majorHAnsi" w:hAnsiTheme="majorHAnsi"/>
        </w:rPr>
        <w:t xml:space="preserve">u odnosu na režijski dodatak učestvuju sa </w:t>
      </w:r>
      <w:r w:rsidR="00135756" w:rsidRPr="00F17E37">
        <w:rPr>
          <w:rFonts w:asciiTheme="majorHAnsi" w:hAnsiTheme="majorHAnsi"/>
        </w:rPr>
        <w:t>60,24</w:t>
      </w:r>
      <w:r w:rsidRPr="00F17E37">
        <w:rPr>
          <w:rFonts w:asciiTheme="majorHAnsi" w:hAnsiTheme="majorHAnsi"/>
        </w:rPr>
        <w:t xml:space="preserve">%,a u odnosu na fakturisanu premiju  troškovi sprovođenja osiguranja učestvuju sa </w:t>
      </w:r>
      <w:r w:rsidR="00866D6A">
        <w:rPr>
          <w:rFonts w:asciiTheme="majorHAnsi" w:hAnsiTheme="majorHAnsi"/>
        </w:rPr>
        <w:t>17,80</w:t>
      </w:r>
      <w:r w:rsidRPr="00F17E37">
        <w:rPr>
          <w:rFonts w:asciiTheme="majorHAnsi" w:hAnsiTheme="majorHAnsi"/>
        </w:rPr>
        <w:t>%.</w:t>
      </w:r>
    </w:p>
    <w:p w:rsidR="00A62FA3" w:rsidRPr="00F17E37" w:rsidRDefault="00A62FA3" w:rsidP="00C11ACB">
      <w:pPr>
        <w:pStyle w:val="Heading2"/>
        <w:numPr>
          <w:ilvl w:val="0"/>
          <w:numId w:val="0"/>
        </w:numPr>
        <w:spacing w:after="0"/>
      </w:pPr>
      <w:bookmarkStart w:id="68" w:name="_Toc475624879"/>
      <w:bookmarkStart w:id="69" w:name="_Toc507483708"/>
      <w:r w:rsidRPr="00F17E37">
        <w:t>Troškovi režije po vrsti</w:t>
      </w:r>
      <w:bookmarkEnd w:id="68"/>
      <w:bookmarkEnd w:id="69"/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004"/>
        <w:gridCol w:w="1311"/>
        <w:gridCol w:w="1635"/>
        <w:gridCol w:w="1372"/>
        <w:gridCol w:w="1372"/>
        <w:gridCol w:w="1324"/>
        <w:gridCol w:w="791"/>
        <w:gridCol w:w="283"/>
        <w:gridCol w:w="283"/>
      </w:tblGrid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9E2E35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9E2E35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17BA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383.956,49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383.546,05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12,57</w:t>
            </w:r>
          </w:p>
        </w:tc>
      </w:tr>
      <w:tr w:rsidR="00A62FA3" w:rsidRPr="00F17E37" w:rsidTr="00973A98">
        <w:trPr>
          <w:trHeight w:val="321"/>
        </w:trPr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rezervisanja za ben.zaposl.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BAB" w:rsidRPr="00F17E37" w:rsidRDefault="003056DC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8.359,66</w:t>
            </w:r>
            <w:r w:rsidR="00D17BA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0" w:type="auto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81436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90.163,01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95.824,73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2,95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81436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253.981,60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213.768,32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8,32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81436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</w:t>
            </w:r>
            <w:r w:rsidR="0005763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127,54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171.680,60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3,51</w:t>
            </w: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55DCC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52.459,22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30.210,78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 kancel.i nekancel.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D55DCC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66.145,30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95.346,43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11.697,51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2.599,31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0,38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9.055,90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8.152,83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0,30</w:t>
            </w: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29.196,95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37.054,06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15.268,54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15.725,23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0,50</w:t>
            </w: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137.480,99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127.753,27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16.500,72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17.171,09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62.267,38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70.666,81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2,04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D337C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132.745,96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133.917,76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4,35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D337C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130.585,13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118.701,06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4,28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3B7F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37.843,00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34.662,05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25.227,24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25.999,92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1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 fi.agencije ,obdusmen i ost.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180.885,65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173.396,30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0" w:type="auto"/>
            <w:vAlign w:val="bottom"/>
          </w:tcPr>
          <w:p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3B7F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40.735,26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44.208,86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1,33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763B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1261.800,55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1.208.151,92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41,32</w:t>
            </w:r>
          </w:p>
        </w:tc>
      </w:tr>
      <w:tr w:rsidR="00A62FA3" w:rsidRPr="00F17E37" w:rsidTr="00973A98">
        <w:trPr>
          <w:gridAfter w:val="2"/>
          <w:trHeight w:val="31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D337C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3.053.483,60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9E2E35" w:rsidP="002E4DC5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3.008.537,38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FA3" w:rsidRPr="00F17E37" w:rsidRDefault="0088060C" w:rsidP="002E4DC5">
            <w:pPr>
              <w:spacing w:after="0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A62FA3" w:rsidRPr="00F17E37" w:rsidRDefault="00A62FA3" w:rsidP="002E4DC5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</w:rPr>
      </w:pPr>
    </w:p>
    <w:p w:rsidR="00A62FA3" w:rsidRPr="00F17E37" w:rsidRDefault="001732FB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Troškovi </w:t>
      </w:r>
      <w:r w:rsidR="007263DF">
        <w:rPr>
          <w:rFonts w:asciiTheme="majorHAnsi" w:hAnsiTheme="majorHAnsi"/>
        </w:rPr>
        <w:t>sprovođenja osiguranja</w:t>
      </w:r>
      <w:r w:rsidR="00A62FA3" w:rsidRPr="00F17E37">
        <w:rPr>
          <w:rFonts w:asciiTheme="majorHAnsi" w:hAnsiTheme="majorHAnsi"/>
        </w:rPr>
        <w:t xml:space="preserve"> u iznosu od 3.0</w:t>
      </w:r>
      <w:r w:rsidR="007C070D" w:rsidRPr="00F17E37">
        <w:rPr>
          <w:rFonts w:asciiTheme="majorHAnsi" w:hAnsiTheme="majorHAnsi"/>
        </w:rPr>
        <w:t xml:space="preserve">53.483,60KM </w:t>
      </w:r>
      <w:r w:rsidR="00A62FA3" w:rsidRPr="00F17E37">
        <w:rPr>
          <w:rFonts w:asciiTheme="majorHAnsi" w:hAnsiTheme="majorHAnsi"/>
        </w:rPr>
        <w:t xml:space="preserve">su veći  u odnosu na predhodnu godinu za </w:t>
      </w:r>
      <w:r w:rsidR="007C070D" w:rsidRPr="00F17E37">
        <w:rPr>
          <w:rFonts w:asciiTheme="majorHAnsi" w:hAnsiTheme="majorHAnsi"/>
        </w:rPr>
        <w:t>1</w:t>
      </w:r>
      <w:r w:rsidR="00A62FA3" w:rsidRPr="00F17E37">
        <w:rPr>
          <w:rFonts w:asciiTheme="majorHAnsi" w:hAnsiTheme="majorHAnsi"/>
        </w:rPr>
        <w:t>%.</w:t>
      </w:r>
      <w:r w:rsidR="00FE240D" w:rsidRPr="00F17E37">
        <w:rPr>
          <w:rFonts w:asciiTheme="majorHAnsi" w:hAnsiTheme="majorHAnsi"/>
        </w:rPr>
        <w:t>a</w:t>
      </w:r>
      <w:r w:rsidR="00A62FA3" w:rsidRPr="00F17E37">
        <w:rPr>
          <w:rFonts w:asciiTheme="majorHAnsi" w:hAnsiTheme="majorHAnsi"/>
        </w:rPr>
        <w:t xml:space="preserve"> u odnosu na režijski dodatak su manji za </w:t>
      </w:r>
      <w:r w:rsidR="007C070D" w:rsidRPr="00F17E37">
        <w:rPr>
          <w:rFonts w:asciiTheme="majorHAnsi" w:hAnsiTheme="majorHAnsi"/>
        </w:rPr>
        <w:t>39,76%.</w:t>
      </w: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   U strukturi troškova značajno mjesto zauzimaju troškovi plata zaposlenih </w:t>
      </w:r>
      <w:r w:rsidR="007C070D" w:rsidRPr="00F17E37">
        <w:rPr>
          <w:rFonts w:asciiTheme="majorHAnsi" w:hAnsiTheme="majorHAnsi"/>
        </w:rPr>
        <w:t>41.32</w:t>
      </w:r>
      <w:r w:rsidRPr="00F17E37">
        <w:rPr>
          <w:rFonts w:asciiTheme="majorHAnsi" w:hAnsiTheme="majorHAnsi"/>
        </w:rPr>
        <w:t>%,amortizacije</w:t>
      </w:r>
    </w:p>
    <w:p w:rsidR="00A62FA3" w:rsidRPr="00F17E37" w:rsidRDefault="00A62FA3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12,</w:t>
      </w:r>
      <w:r w:rsidR="007C070D" w:rsidRPr="00F17E37">
        <w:rPr>
          <w:rFonts w:asciiTheme="majorHAnsi" w:hAnsiTheme="majorHAnsi"/>
        </w:rPr>
        <w:t>57</w:t>
      </w:r>
      <w:r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troškovi energije </w:t>
      </w:r>
      <w:r w:rsidR="007C070D" w:rsidRPr="00F17E37">
        <w:rPr>
          <w:rFonts w:asciiTheme="majorHAnsi" w:hAnsiTheme="majorHAnsi"/>
        </w:rPr>
        <w:t>8,32</w:t>
      </w:r>
      <w:r w:rsidRPr="00F17E37">
        <w:rPr>
          <w:rFonts w:asciiTheme="majorHAnsi" w:hAnsiTheme="majorHAnsi"/>
        </w:rPr>
        <w:t>%,</w:t>
      </w:r>
      <w:r w:rsidR="00FE240D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troškovi direktnih poreza 4,</w:t>
      </w:r>
      <w:r w:rsidR="007C070D" w:rsidRPr="00F17E37">
        <w:rPr>
          <w:rFonts w:asciiTheme="majorHAnsi" w:hAnsiTheme="majorHAnsi"/>
        </w:rPr>
        <w:t>50</w:t>
      </w:r>
      <w:r w:rsidRPr="00F17E37">
        <w:rPr>
          <w:rFonts w:asciiTheme="majorHAnsi" w:hAnsiTheme="majorHAnsi"/>
        </w:rPr>
        <w:t>% ,</w:t>
      </w:r>
      <w:r w:rsidR="00FE240D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troškovi usluga 4,</w:t>
      </w:r>
      <w:r w:rsidR="007C070D" w:rsidRPr="00F17E37">
        <w:rPr>
          <w:rFonts w:asciiTheme="majorHAnsi" w:hAnsiTheme="majorHAnsi"/>
        </w:rPr>
        <w:t>28</w:t>
      </w:r>
      <w:r w:rsidRPr="00F17E37">
        <w:rPr>
          <w:rFonts w:asciiTheme="majorHAnsi" w:hAnsiTheme="majorHAnsi"/>
        </w:rPr>
        <w:t>%,troškovi telefona 4,</w:t>
      </w:r>
      <w:r w:rsidR="007C070D" w:rsidRPr="00F17E37">
        <w:rPr>
          <w:rFonts w:asciiTheme="majorHAnsi" w:hAnsiTheme="majorHAnsi"/>
        </w:rPr>
        <w:t>3</w:t>
      </w:r>
      <w:r w:rsidRPr="00F17E37">
        <w:rPr>
          <w:rFonts w:asciiTheme="majorHAnsi" w:hAnsiTheme="majorHAnsi"/>
        </w:rPr>
        <w:t>5% i ostalo.</w:t>
      </w:r>
    </w:p>
    <w:p w:rsidR="00A62FA3" w:rsidRPr="00F17E37" w:rsidRDefault="00A62FA3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U odnosu na predhodnu godinu evidentan je porast troškova troškov</w:t>
      </w:r>
      <w:r w:rsidR="00FE240D" w:rsidRPr="00F17E37">
        <w:rPr>
          <w:rFonts w:asciiTheme="majorHAnsi" w:hAnsiTheme="majorHAnsi"/>
        </w:rPr>
        <w:t>a</w:t>
      </w:r>
      <w:r w:rsidRPr="00F17E37">
        <w:rPr>
          <w:rFonts w:asciiTheme="majorHAnsi" w:hAnsiTheme="majorHAnsi"/>
        </w:rPr>
        <w:t xml:space="preserve"> </w:t>
      </w:r>
      <w:r w:rsidR="00FE240D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energije </w:t>
      </w:r>
      <w:r w:rsidR="004D6DD9" w:rsidRPr="00F17E37">
        <w:rPr>
          <w:rFonts w:asciiTheme="majorHAnsi" w:hAnsiTheme="majorHAnsi"/>
        </w:rPr>
        <w:t>19</w:t>
      </w:r>
      <w:r w:rsidRPr="00F17E37">
        <w:rPr>
          <w:rFonts w:asciiTheme="majorHAnsi" w:hAnsiTheme="majorHAnsi"/>
        </w:rPr>
        <w:t xml:space="preserve">%,troškovi </w:t>
      </w:r>
      <w:r w:rsidR="004D6DD9" w:rsidRPr="00F17E37">
        <w:rPr>
          <w:rFonts w:asciiTheme="majorHAnsi" w:hAnsiTheme="majorHAnsi"/>
        </w:rPr>
        <w:t>održavanja</w:t>
      </w:r>
      <w:r w:rsidRPr="00F17E37">
        <w:rPr>
          <w:rFonts w:asciiTheme="majorHAnsi" w:hAnsiTheme="majorHAnsi"/>
        </w:rPr>
        <w:t xml:space="preserve"> </w:t>
      </w:r>
      <w:r w:rsidR="004D6DD9" w:rsidRPr="00F17E37">
        <w:rPr>
          <w:rFonts w:asciiTheme="majorHAnsi" w:hAnsiTheme="majorHAnsi"/>
        </w:rPr>
        <w:t>74</w:t>
      </w:r>
      <w:r w:rsidRPr="00F17E37">
        <w:rPr>
          <w:rFonts w:asciiTheme="majorHAnsi" w:hAnsiTheme="majorHAnsi"/>
        </w:rPr>
        <w:t>%,</w:t>
      </w:r>
      <w:r w:rsidR="004D6DD9" w:rsidRPr="00F17E37">
        <w:rPr>
          <w:rFonts w:asciiTheme="majorHAnsi" w:hAnsiTheme="majorHAnsi"/>
        </w:rPr>
        <w:t>troškovi provizije 350%.</w:t>
      </w:r>
    </w:p>
    <w:p w:rsidR="00591E04" w:rsidRDefault="00591E04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>NOTA  3</w:t>
      </w:r>
      <w:r w:rsidR="00657A2E" w:rsidRPr="00F17E37">
        <w:rPr>
          <w:rFonts w:asciiTheme="majorHAnsi" w:hAnsiTheme="majorHAnsi"/>
          <w:b/>
          <w:u w:val="single"/>
        </w:rPr>
        <w:t>5</w:t>
      </w:r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:rsidR="00A62FA3" w:rsidRPr="00F17E37" w:rsidRDefault="00A62FA3" w:rsidP="00591E04">
      <w:pPr>
        <w:pStyle w:val="Heading2"/>
        <w:spacing w:after="0"/>
      </w:pPr>
      <w:bookmarkStart w:id="70" w:name="_Toc507483709"/>
      <w:r w:rsidRPr="00F17E37">
        <w:t>Finansijski prihodi</w:t>
      </w:r>
      <w:bookmarkEnd w:id="70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A62FA3" w:rsidRPr="00F17E37" w:rsidTr="002E4DC5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C1B2F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2C1B2F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7058AB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41.321,90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C1B2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29.170,61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36CB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A62FA3" w:rsidRPr="00F17E3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F54" w:rsidRPr="00F17E37" w:rsidRDefault="004F1F5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340.559,60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C1B2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433.803,32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36CB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A62FA3" w:rsidRPr="00F17E37" w:rsidTr="002E4DC5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F1F5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361.180,59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C1B2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36CB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2E4DC5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F1F5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833,76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C1B2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268,69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36CB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A62FA3" w:rsidRPr="00F17E37" w:rsidTr="002E4DC5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4F1F5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743.895,85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C1B2F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463.242,62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36CB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161</w:t>
            </w:r>
          </w:p>
        </w:tc>
      </w:tr>
    </w:tbl>
    <w:p w:rsidR="00A62FA3" w:rsidRPr="00F17E37" w:rsidRDefault="00A62FA3" w:rsidP="00A62FA3">
      <w:pPr>
        <w:pStyle w:val="NoSpacing"/>
        <w:tabs>
          <w:tab w:val="left" w:pos="5245"/>
        </w:tabs>
        <w:rPr>
          <w:rFonts w:asciiTheme="majorHAnsi" w:hAnsiTheme="majorHAnsi"/>
          <w:b/>
        </w:rPr>
      </w:pPr>
    </w:p>
    <w:p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Prihod od kamata u iznosu od </w:t>
      </w:r>
      <w:r w:rsidR="00011DF9">
        <w:rPr>
          <w:rFonts w:asciiTheme="majorHAnsi" w:hAnsiTheme="majorHAnsi"/>
        </w:rPr>
        <w:t>340.559,60 KM</w:t>
      </w:r>
      <w:r w:rsidRPr="00F17E37">
        <w:rPr>
          <w:rFonts w:asciiTheme="majorHAnsi" w:hAnsiTheme="majorHAnsi"/>
        </w:rPr>
        <w:t xml:space="preserve"> kao finansijski prihodi se sastoje iz:</w:t>
      </w:r>
    </w:p>
    <w:p w:rsidR="00A62FA3" w:rsidRPr="00F17E37" w:rsidRDefault="00A62FA3" w:rsidP="00817BEF">
      <w:pPr>
        <w:pStyle w:val="NoSpacing"/>
        <w:numPr>
          <w:ilvl w:val="0"/>
          <w:numId w:val="13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na pozitivno saldo na računu                              </w:t>
      </w:r>
      <w:r w:rsidR="00C11ACB" w:rsidRPr="00F17E37">
        <w:rPr>
          <w:rFonts w:asciiTheme="majorHAnsi" w:hAnsiTheme="majorHAnsi"/>
        </w:rPr>
        <w:t xml:space="preserve">  </w:t>
      </w:r>
      <w:r w:rsidR="00BC5FC7" w:rsidRPr="00F17E37">
        <w:rPr>
          <w:rFonts w:asciiTheme="majorHAnsi" w:hAnsiTheme="majorHAnsi"/>
        </w:rPr>
        <w:t xml:space="preserve"> </w:t>
      </w:r>
      <w:r w:rsidR="00604607" w:rsidRPr="00F17E37">
        <w:rPr>
          <w:rFonts w:asciiTheme="majorHAnsi" w:hAnsiTheme="majorHAnsi"/>
        </w:rPr>
        <w:t>0,50</w:t>
      </w:r>
    </w:p>
    <w:p w:rsidR="00A62FA3" w:rsidRPr="00F17E37" w:rsidRDefault="00A62FA3" w:rsidP="00817BEF">
      <w:pPr>
        <w:pStyle w:val="NoSpacing"/>
        <w:numPr>
          <w:ilvl w:val="0"/>
          <w:numId w:val="13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</w:t>
      </w:r>
      <w:r w:rsidR="006B1AFA">
        <w:rPr>
          <w:rFonts w:asciiTheme="majorHAnsi" w:hAnsiTheme="majorHAnsi"/>
        </w:rPr>
        <w:t>od</w:t>
      </w:r>
      <w:r w:rsidRPr="00F17E37">
        <w:rPr>
          <w:rFonts w:asciiTheme="majorHAnsi" w:hAnsiTheme="majorHAnsi"/>
        </w:rPr>
        <w:t xml:space="preserve"> oročenih depozita   </w:t>
      </w:r>
      <w:r w:rsidR="001732FB" w:rsidRPr="00F17E37">
        <w:rPr>
          <w:rFonts w:asciiTheme="majorHAnsi" w:hAnsiTheme="majorHAnsi"/>
        </w:rPr>
        <w:t xml:space="preserve">                                </w:t>
      </w:r>
      <w:r w:rsidR="00604607" w:rsidRPr="00F17E37">
        <w:rPr>
          <w:rFonts w:asciiTheme="majorHAnsi" w:hAnsiTheme="majorHAnsi"/>
        </w:rPr>
        <w:t>294.361,46</w:t>
      </w:r>
    </w:p>
    <w:p w:rsidR="00A62FA3" w:rsidRPr="00F17E37" w:rsidRDefault="00A62FA3" w:rsidP="00817BEF">
      <w:pPr>
        <w:pStyle w:val="NoSpacing"/>
        <w:numPr>
          <w:ilvl w:val="0"/>
          <w:numId w:val="13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na zajmove-ostalih pl.  </w:t>
      </w:r>
      <w:r w:rsidR="001732FB" w:rsidRPr="00F17E37">
        <w:rPr>
          <w:rFonts w:asciiTheme="majorHAnsi" w:hAnsiTheme="majorHAnsi"/>
        </w:rPr>
        <w:t xml:space="preserve">                                  </w:t>
      </w:r>
      <w:r w:rsidR="00604607" w:rsidRPr="00F17E37">
        <w:rPr>
          <w:rFonts w:asciiTheme="majorHAnsi" w:hAnsiTheme="majorHAnsi"/>
        </w:rPr>
        <w:t>31.684,85</w:t>
      </w:r>
    </w:p>
    <w:p w:rsidR="00A62FA3" w:rsidRPr="00F17E37" w:rsidRDefault="00A62FA3" w:rsidP="00817BEF">
      <w:pPr>
        <w:pStyle w:val="NoSpacing"/>
        <w:numPr>
          <w:ilvl w:val="0"/>
          <w:numId w:val="13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rezervog fonda BiH                                      </w:t>
      </w:r>
      <w:r w:rsidR="00604607" w:rsidRPr="00F17E37">
        <w:rPr>
          <w:rFonts w:asciiTheme="majorHAnsi" w:hAnsiTheme="majorHAnsi"/>
        </w:rPr>
        <w:t xml:space="preserve">   </w:t>
      </w:r>
      <w:r w:rsidRPr="00F17E37">
        <w:rPr>
          <w:rFonts w:asciiTheme="majorHAnsi" w:hAnsiTheme="majorHAnsi"/>
        </w:rPr>
        <w:t xml:space="preserve">   </w:t>
      </w:r>
      <w:r w:rsidR="00604607" w:rsidRPr="00F17E37">
        <w:rPr>
          <w:rFonts w:asciiTheme="majorHAnsi" w:hAnsiTheme="majorHAnsi"/>
        </w:rPr>
        <w:t>8.204,69</w:t>
      </w:r>
    </w:p>
    <w:p w:rsidR="00604607" w:rsidRPr="00F17E37" w:rsidRDefault="00604607" w:rsidP="00817BEF">
      <w:pPr>
        <w:pStyle w:val="NoSpacing"/>
        <w:numPr>
          <w:ilvl w:val="0"/>
          <w:numId w:val="13"/>
        </w:numPr>
        <w:tabs>
          <w:tab w:val="left" w:pos="5245"/>
        </w:tabs>
        <w:spacing w:line="276" w:lineRule="auto"/>
        <w:rPr>
          <w:rFonts w:asciiTheme="majorHAnsi" w:hAnsiTheme="majorHAnsi"/>
          <w:u w:val="single"/>
        </w:rPr>
      </w:pPr>
      <w:r w:rsidRPr="00F17E37">
        <w:rPr>
          <w:rFonts w:asciiTheme="majorHAnsi" w:hAnsiTheme="majorHAnsi"/>
          <w:u w:val="single"/>
        </w:rPr>
        <w:t>prihod od kamata po osn.nap.vat.doprinosa                                6.308,10</w:t>
      </w:r>
    </w:p>
    <w:p w:rsidR="00FE240D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604607" w:rsidRPr="00F17E37">
        <w:rPr>
          <w:rFonts w:asciiTheme="majorHAnsi" w:hAnsiTheme="majorHAnsi"/>
        </w:rPr>
        <w:t xml:space="preserve">                                                                                                                           340.559,60</w:t>
      </w:r>
    </w:p>
    <w:p w:rsidR="00A62FA3" w:rsidRPr="00F17E37" w:rsidRDefault="00A62FA3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Finansijski prihodi su </w:t>
      </w:r>
      <w:r w:rsidR="00EC3B6A" w:rsidRPr="00F17E37">
        <w:rPr>
          <w:rFonts w:asciiTheme="majorHAnsi" w:hAnsiTheme="majorHAnsi"/>
        </w:rPr>
        <w:t>veći</w:t>
      </w:r>
      <w:r w:rsidRPr="00F17E37">
        <w:rPr>
          <w:rFonts w:asciiTheme="majorHAnsi" w:hAnsiTheme="majorHAnsi"/>
        </w:rPr>
        <w:t xml:space="preserve"> za </w:t>
      </w:r>
      <w:r w:rsidR="00EC3B6A" w:rsidRPr="00F17E37">
        <w:rPr>
          <w:rFonts w:asciiTheme="majorHAnsi" w:hAnsiTheme="majorHAnsi"/>
        </w:rPr>
        <w:t>61</w:t>
      </w:r>
      <w:r w:rsidRPr="00F17E37">
        <w:rPr>
          <w:rFonts w:asciiTheme="majorHAnsi" w:hAnsiTheme="majorHAnsi"/>
        </w:rPr>
        <w:t>% u o</w:t>
      </w:r>
      <w:r w:rsidR="00EC3B6A" w:rsidRPr="00F17E37">
        <w:rPr>
          <w:rFonts w:asciiTheme="majorHAnsi" w:hAnsiTheme="majorHAnsi"/>
        </w:rPr>
        <w:t>dnosu na predhodnu godinu,</w:t>
      </w:r>
      <w:r w:rsidR="00C62634" w:rsidRPr="00F17E37">
        <w:rPr>
          <w:rFonts w:asciiTheme="majorHAnsi" w:hAnsiTheme="majorHAnsi"/>
        </w:rPr>
        <w:t>prije svega</w:t>
      </w:r>
      <w:r w:rsidR="00EC3B6A" w:rsidRPr="00F17E37">
        <w:rPr>
          <w:rFonts w:asciiTheme="majorHAnsi" w:hAnsiTheme="majorHAnsi"/>
        </w:rPr>
        <w:t xml:space="preserve"> zbog pozitivne kursne razlike koja se kumulirala </w:t>
      </w:r>
      <w:r w:rsidR="00C62634" w:rsidRPr="00F17E37">
        <w:rPr>
          <w:rFonts w:asciiTheme="majorHAnsi" w:hAnsiTheme="majorHAnsi"/>
        </w:rPr>
        <w:t>na</w:t>
      </w:r>
      <w:r w:rsidR="00EC3B6A" w:rsidRPr="00F17E37">
        <w:rPr>
          <w:rFonts w:asciiTheme="majorHAnsi" w:hAnsiTheme="majorHAnsi"/>
        </w:rPr>
        <w:t xml:space="preserve"> dolarsk</w:t>
      </w:r>
      <w:r w:rsidR="00C62634" w:rsidRPr="00F17E37">
        <w:rPr>
          <w:rFonts w:asciiTheme="majorHAnsi" w:hAnsiTheme="majorHAnsi"/>
        </w:rPr>
        <w:t>i</w:t>
      </w:r>
      <w:r w:rsidR="00EC3B6A" w:rsidRPr="00F17E37">
        <w:rPr>
          <w:rFonts w:asciiTheme="majorHAnsi" w:hAnsiTheme="majorHAnsi"/>
        </w:rPr>
        <w:t xml:space="preserve"> </w:t>
      </w:r>
      <w:r w:rsidR="00C11ACB" w:rsidRPr="00F17E37">
        <w:rPr>
          <w:rFonts w:asciiTheme="majorHAnsi" w:hAnsiTheme="majorHAnsi"/>
        </w:rPr>
        <w:t>deposit,</w:t>
      </w:r>
      <w:r w:rsidR="00C62634" w:rsidRPr="00F17E37">
        <w:rPr>
          <w:rFonts w:asciiTheme="majorHAnsi" w:hAnsiTheme="majorHAnsi"/>
        </w:rPr>
        <w:t xml:space="preserve"> oročen </w:t>
      </w:r>
      <w:r w:rsidR="00EC3B6A" w:rsidRPr="00F17E37">
        <w:rPr>
          <w:rFonts w:asciiTheme="majorHAnsi" w:hAnsiTheme="majorHAnsi"/>
        </w:rPr>
        <w:t xml:space="preserve"> u banci</w:t>
      </w:r>
      <w:r w:rsidR="00C11ACB" w:rsidRPr="00F17E37">
        <w:rPr>
          <w:rFonts w:asciiTheme="majorHAnsi" w:hAnsiTheme="majorHAnsi"/>
        </w:rPr>
        <w:t>,</w:t>
      </w:r>
      <w:r w:rsidR="00C62634" w:rsidRPr="00F17E37">
        <w:rPr>
          <w:rFonts w:asciiTheme="majorHAnsi" w:hAnsiTheme="majorHAnsi"/>
        </w:rPr>
        <w:t xml:space="preserve"> a čiji je rok </w:t>
      </w:r>
      <w:r w:rsidR="00C11ACB" w:rsidRPr="00F17E37">
        <w:rPr>
          <w:rFonts w:asciiTheme="majorHAnsi" w:hAnsiTheme="majorHAnsi"/>
        </w:rPr>
        <w:t xml:space="preserve">dospjeća u 2017.g. </w:t>
      </w:r>
    </w:p>
    <w:p w:rsidR="009B5D40" w:rsidRPr="00F17E37" w:rsidRDefault="000E5AC6" w:rsidP="00C11ACB">
      <w:pPr>
        <w:pStyle w:val="NoSpacing"/>
        <w:tabs>
          <w:tab w:val="left" w:pos="5245"/>
        </w:tabs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>Ostali finansijski prihodi u iznosu od 833,76 KM su nastali kao viškovi uplata po raznim osnovama.</w:t>
      </w: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6</w:t>
      </w:r>
      <w:r w:rsidRPr="00F17E37">
        <w:rPr>
          <w:rFonts w:asciiTheme="majorHAnsi" w:hAnsiTheme="majorHAnsi"/>
          <w:b/>
          <w:u w:val="single"/>
        </w:rPr>
        <w:t>(AOP 256)</w:t>
      </w:r>
    </w:p>
    <w:p w:rsidR="00A62FA3" w:rsidRPr="00F17E37" w:rsidRDefault="00A62FA3" w:rsidP="00591E04">
      <w:pPr>
        <w:pStyle w:val="Heading2"/>
        <w:spacing w:after="0"/>
      </w:pPr>
      <w:bookmarkStart w:id="71" w:name="_Toc507483710"/>
      <w:r w:rsidRPr="00F17E37">
        <w:t>Finansijski rashodi</w:t>
      </w:r>
      <w:bookmarkEnd w:id="71"/>
    </w:p>
    <w:tbl>
      <w:tblPr>
        <w:tblW w:w="9457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605"/>
      </w:tblGrid>
      <w:tr w:rsidR="00A62FA3" w:rsidRPr="00F17E37" w:rsidTr="002E4DC5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56BA9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556BA9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2E4DC5">
        <w:trPr>
          <w:trHeight w:val="262"/>
        </w:trPr>
        <w:tc>
          <w:tcPr>
            <w:tcW w:w="3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kamata od povezanog p.l.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4.108,33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2E4DC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160. </w:t>
            </w:r>
            <w:r w:rsidR="00C33074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580,01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1.078,52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2E4DC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398,98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2E4DC5">
        <w:trPr>
          <w:trHeight w:val="26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160.</w:t>
            </w:r>
            <w:r w:rsidR="00D6367B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580,01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5.187,99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556BA9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3102</w:t>
            </w:r>
          </w:p>
        </w:tc>
      </w:tr>
    </w:tbl>
    <w:p w:rsidR="002E4DC5" w:rsidRPr="00F17E37" w:rsidRDefault="00C11ACB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</w:t>
      </w:r>
      <w:r w:rsidR="004C2516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 </w:t>
      </w:r>
    </w:p>
    <w:p w:rsidR="00A62FA3" w:rsidRPr="00F17E37" w:rsidRDefault="002E4DC5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A62FA3" w:rsidRPr="00F17E37">
        <w:rPr>
          <w:rFonts w:asciiTheme="majorHAnsi" w:hAnsiTheme="majorHAnsi"/>
        </w:rPr>
        <w:t xml:space="preserve"> Finansijski rashodi u odnosu na 201</w:t>
      </w:r>
      <w:r w:rsidR="00556BA9" w:rsidRPr="00F17E37">
        <w:rPr>
          <w:rFonts w:asciiTheme="majorHAnsi" w:hAnsiTheme="majorHAnsi"/>
        </w:rPr>
        <w:t>6.</w:t>
      </w:r>
      <w:r w:rsidR="00A62FA3" w:rsidRPr="00F17E37">
        <w:rPr>
          <w:rFonts w:asciiTheme="majorHAnsi" w:hAnsiTheme="majorHAnsi"/>
        </w:rPr>
        <w:t xml:space="preserve">g. </w:t>
      </w:r>
      <w:r w:rsidR="00556BA9" w:rsidRPr="00F17E37">
        <w:rPr>
          <w:rFonts w:asciiTheme="majorHAnsi" w:hAnsiTheme="majorHAnsi"/>
        </w:rPr>
        <w:t xml:space="preserve"> su neuporedivo veći po osnovu negativne kursne razlike </w:t>
      </w:r>
      <w:r w:rsidR="00823026" w:rsidRPr="00F17E37">
        <w:rPr>
          <w:rFonts w:asciiTheme="majorHAnsi" w:hAnsiTheme="majorHAnsi"/>
        </w:rPr>
        <w:t xml:space="preserve">u iznosu od 160.235,10 KM  a </w:t>
      </w:r>
      <w:r w:rsidR="00556BA9" w:rsidRPr="00F17E37">
        <w:rPr>
          <w:rFonts w:asciiTheme="majorHAnsi" w:hAnsiTheme="majorHAnsi"/>
        </w:rPr>
        <w:t>koj</w:t>
      </w:r>
      <w:r w:rsidR="00823026" w:rsidRPr="00F17E37">
        <w:rPr>
          <w:rFonts w:asciiTheme="majorHAnsi" w:hAnsiTheme="majorHAnsi"/>
        </w:rPr>
        <w:t>a</w:t>
      </w:r>
      <w:r w:rsidR="00556BA9" w:rsidRPr="00F17E37">
        <w:rPr>
          <w:rFonts w:asciiTheme="majorHAnsi" w:hAnsiTheme="majorHAnsi"/>
        </w:rPr>
        <w:t xml:space="preserve"> </w:t>
      </w:r>
      <w:r w:rsidR="00823026" w:rsidRPr="00F17E37">
        <w:rPr>
          <w:rFonts w:asciiTheme="majorHAnsi" w:hAnsiTheme="majorHAnsi"/>
        </w:rPr>
        <w:t>je</w:t>
      </w:r>
      <w:r w:rsidR="00556BA9" w:rsidRPr="00F17E37">
        <w:rPr>
          <w:rFonts w:asciiTheme="majorHAnsi" w:hAnsiTheme="majorHAnsi"/>
        </w:rPr>
        <w:t xml:space="preserve"> </w:t>
      </w:r>
      <w:r w:rsidR="00823026" w:rsidRPr="00F17E37">
        <w:rPr>
          <w:rFonts w:asciiTheme="majorHAnsi" w:hAnsiTheme="majorHAnsi"/>
        </w:rPr>
        <w:t>obračunata</w:t>
      </w:r>
      <w:r w:rsidR="00556BA9" w:rsidRPr="00F17E37">
        <w:rPr>
          <w:rFonts w:asciiTheme="majorHAnsi" w:hAnsiTheme="majorHAnsi"/>
        </w:rPr>
        <w:t xml:space="preserve"> na dolarski depo</w:t>
      </w:r>
      <w:r w:rsidR="00C11ACB" w:rsidRPr="00F17E37">
        <w:rPr>
          <w:rFonts w:asciiTheme="majorHAnsi" w:hAnsiTheme="majorHAnsi"/>
        </w:rPr>
        <w:t>z</w:t>
      </w:r>
      <w:r w:rsidR="00556BA9" w:rsidRPr="00F17E37">
        <w:rPr>
          <w:rFonts w:asciiTheme="majorHAnsi" w:hAnsiTheme="majorHAnsi"/>
        </w:rPr>
        <w:t>it koji je</w:t>
      </w:r>
      <w:r w:rsidR="00C11ACB" w:rsidRPr="00F17E37">
        <w:rPr>
          <w:rFonts w:asciiTheme="majorHAnsi" w:hAnsiTheme="majorHAnsi"/>
        </w:rPr>
        <w:t xml:space="preserve"> ponovo </w:t>
      </w:r>
      <w:r w:rsidR="00556BA9" w:rsidRPr="00F17E37">
        <w:rPr>
          <w:rFonts w:asciiTheme="majorHAnsi" w:hAnsiTheme="majorHAnsi"/>
        </w:rPr>
        <w:t xml:space="preserve"> oročen</w:t>
      </w:r>
      <w:r w:rsidR="00823026" w:rsidRPr="00F17E37">
        <w:rPr>
          <w:rFonts w:asciiTheme="majorHAnsi" w:hAnsiTheme="majorHAnsi"/>
        </w:rPr>
        <w:t xml:space="preserve"> u banci</w:t>
      </w:r>
      <w:r w:rsidR="00556BA9" w:rsidRPr="00F17E37">
        <w:rPr>
          <w:rFonts w:asciiTheme="majorHAnsi" w:hAnsiTheme="majorHAnsi"/>
        </w:rPr>
        <w:t xml:space="preserve"> u </w:t>
      </w:r>
      <w:r w:rsidR="00C11ACB" w:rsidRPr="00F17E37">
        <w:rPr>
          <w:rFonts w:asciiTheme="majorHAnsi" w:hAnsiTheme="majorHAnsi"/>
        </w:rPr>
        <w:t xml:space="preserve">toku </w:t>
      </w:r>
      <w:r w:rsidR="00C33074" w:rsidRPr="00F17E37">
        <w:rPr>
          <w:rFonts w:asciiTheme="majorHAnsi" w:hAnsiTheme="majorHAnsi"/>
        </w:rPr>
        <w:t>2017.g.</w:t>
      </w:r>
    </w:p>
    <w:p w:rsidR="00FE240D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</w:p>
    <w:p w:rsidR="00A62FA3" w:rsidRPr="00F17E37" w:rsidRDefault="00A62FA3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</w:t>
      </w:r>
      <w:r w:rsidR="00FE240D" w:rsidRPr="00F17E37">
        <w:rPr>
          <w:rFonts w:asciiTheme="majorHAnsi" w:hAnsiTheme="majorHAnsi"/>
        </w:rPr>
        <w:t xml:space="preserve">     </w:t>
      </w:r>
      <w:r w:rsidR="00823026" w:rsidRPr="00F17E37">
        <w:rPr>
          <w:rFonts w:asciiTheme="majorHAnsi" w:hAnsiTheme="majorHAnsi"/>
        </w:rPr>
        <w:t>Ostale n</w:t>
      </w:r>
      <w:r w:rsidRPr="00F17E37">
        <w:rPr>
          <w:rFonts w:asciiTheme="majorHAnsi" w:hAnsiTheme="majorHAnsi"/>
        </w:rPr>
        <w:t xml:space="preserve">egativne kursne razlike </w:t>
      </w:r>
      <w:r w:rsidR="00823026" w:rsidRPr="00F17E37">
        <w:rPr>
          <w:rFonts w:asciiTheme="majorHAnsi" w:hAnsiTheme="majorHAnsi"/>
        </w:rPr>
        <w:t xml:space="preserve"> od </w:t>
      </w:r>
      <w:r w:rsidR="003C2270" w:rsidRPr="00F17E37">
        <w:rPr>
          <w:rFonts w:asciiTheme="majorHAnsi" w:hAnsiTheme="majorHAnsi"/>
        </w:rPr>
        <w:t>344,91</w:t>
      </w:r>
      <w:r w:rsidR="00823026" w:rsidRPr="00F17E37">
        <w:rPr>
          <w:rFonts w:asciiTheme="majorHAnsi" w:hAnsiTheme="majorHAnsi"/>
        </w:rPr>
        <w:t xml:space="preserve"> KM su nastale</w:t>
      </w:r>
      <w:r w:rsidR="003C2270" w:rsidRPr="00F17E37">
        <w:rPr>
          <w:rFonts w:asciiTheme="majorHAnsi" w:hAnsiTheme="majorHAnsi"/>
        </w:rPr>
        <w:t>:</w:t>
      </w:r>
      <w:r w:rsidR="00823026" w:rsidRPr="00F17E37">
        <w:rPr>
          <w:rFonts w:asciiTheme="majorHAnsi" w:hAnsiTheme="majorHAnsi"/>
        </w:rPr>
        <w:t xml:space="preserve"> po osnovu svođenja valuta na 31.12.2017.g. </w:t>
      </w:r>
      <w:r w:rsidR="003C2270" w:rsidRPr="00F17E37">
        <w:rPr>
          <w:rFonts w:asciiTheme="majorHAnsi" w:hAnsiTheme="majorHAnsi"/>
        </w:rPr>
        <w:t xml:space="preserve">u iznosu od 155,72 KM i </w:t>
      </w:r>
      <w:r w:rsidR="00823026" w:rsidRPr="00F17E37">
        <w:rPr>
          <w:rFonts w:asciiTheme="majorHAnsi" w:hAnsiTheme="majorHAnsi"/>
        </w:rPr>
        <w:t>kao razlika u plaćanju obaveza između prodajnog i srednjeg kursa</w:t>
      </w:r>
      <w:r w:rsidR="00867FA1" w:rsidRPr="00F17E37">
        <w:rPr>
          <w:rFonts w:asciiTheme="majorHAnsi" w:hAnsiTheme="majorHAnsi"/>
        </w:rPr>
        <w:t xml:space="preserve"> </w:t>
      </w:r>
      <w:r w:rsidR="003C2270" w:rsidRPr="00F17E37">
        <w:rPr>
          <w:rFonts w:asciiTheme="majorHAnsi" w:hAnsiTheme="majorHAnsi"/>
        </w:rPr>
        <w:t xml:space="preserve"> u iznosu od </w:t>
      </w:r>
      <w:r w:rsidR="00867FA1" w:rsidRPr="00F17E37">
        <w:rPr>
          <w:rFonts w:asciiTheme="majorHAnsi" w:hAnsiTheme="majorHAnsi"/>
        </w:rPr>
        <w:t>189,69 KM.</w:t>
      </w:r>
    </w:p>
    <w:p w:rsidR="00EC2FB0" w:rsidRPr="00F17E37" w:rsidRDefault="00EC2FB0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Ostali finansijski rashodi u iznosu od 398,17 su nastali evidentiranjem obaveze prema Birou zelene karte po osnovu smanjenja učešća u fondu za naknadu šteta.</w:t>
      </w:r>
    </w:p>
    <w:p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7</w:t>
      </w:r>
      <w:r w:rsidRPr="00F17E37">
        <w:rPr>
          <w:rFonts w:asciiTheme="majorHAnsi" w:hAnsiTheme="majorHAnsi"/>
          <w:b/>
          <w:u w:val="single"/>
        </w:rPr>
        <w:t>(AOP263)</w:t>
      </w:r>
    </w:p>
    <w:p w:rsidR="00A62FA3" w:rsidRPr="00F17E37" w:rsidRDefault="00A62FA3" w:rsidP="00C11ACB">
      <w:pPr>
        <w:pStyle w:val="Heading2"/>
        <w:spacing w:after="0"/>
      </w:pPr>
      <w:bookmarkStart w:id="72" w:name="_Toc507483711"/>
      <w:r w:rsidRPr="00F17E37">
        <w:t>Ostali prihodi</w:t>
      </w:r>
      <w:bookmarkEnd w:id="72"/>
    </w:p>
    <w:tbl>
      <w:tblPr>
        <w:tblW w:w="9206" w:type="dxa"/>
        <w:tblInd w:w="93" w:type="dxa"/>
        <w:tblLook w:val="04A0" w:firstRow="1" w:lastRow="0" w:firstColumn="1" w:lastColumn="0" w:noHBand="0" w:noVBand="1"/>
      </w:tblPr>
      <w:tblGrid>
        <w:gridCol w:w="2232"/>
        <w:gridCol w:w="917"/>
        <w:gridCol w:w="1304"/>
        <w:gridCol w:w="321"/>
        <w:gridCol w:w="1528"/>
        <w:gridCol w:w="1566"/>
        <w:gridCol w:w="1338"/>
      </w:tblGrid>
      <w:tr w:rsidR="002E4DC5" w:rsidRPr="00F17E37" w:rsidTr="00052885">
        <w:trPr>
          <w:trHeight w:val="28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6222A1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6222A1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F17E37" w:rsidRPr="00F17E37" w:rsidTr="00052885">
        <w:trPr>
          <w:trHeight w:val="21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1.460,00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384</w:t>
            </w:r>
          </w:p>
        </w:tc>
      </w:tr>
      <w:tr w:rsidR="00F17E37" w:rsidRPr="00F17E37" w:rsidTr="00052885">
        <w:trPr>
          <w:trHeight w:val="287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Napl.otpisan potra</w:t>
            </w:r>
            <w:r w:rsidR="00AB2F79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Pravilniku o procjeni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11.809,81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DC5" w:rsidRPr="00F17E37" w:rsidTr="00052885">
        <w:trPr>
          <w:trHeight w:val="10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Dobici od prodaje opreme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205,13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471,05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F17E37" w:rsidRPr="00F17E37" w:rsidTr="00052885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nepomenuti prihodi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96D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1.930,40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17E37" w:rsidRPr="00F17E37" w:rsidTr="00052885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F17E37" w:rsidRPr="00F17E37" w:rsidTr="00052885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Prihodi od smanjenja </w:t>
            </w:r>
            <w:r w:rsidR="0071054F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2525D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836,43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E4DC5" w:rsidRPr="00F17E37" w:rsidTr="00052885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0528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1.872,13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6222A1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15.443,69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3E696D" w:rsidP="000528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</w:tr>
    </w:tbl>
    <w:p w:rsidR="00F37D0F" w:rsidRDefault="00C11ACB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p w:rsidR="00A62FA3" w:rsidRPr="00F17E37" w:rsidRDefault="00F37D0F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  </w:t>
      </w:r>
      <w:r w:rsidR="00C11ACB" w:rsidRPr="00F17E37">
        <w:rPr>
          <w:rFonts w:asciiTheme="majorHAnsi" w:hAnsiTheme="majorHAnsi"/>
          <w:b/>
        </w:rPr>
        <w:t xml:space="preserve">  </w:t>
      </w:r>
      <w:r w:rsidR="004C2516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Ostali prihodi su </w:t>
      </w:r>
      <w:r w:rsidR="003E696D" w:rsidRPr="00F17E37">
        <w:rPr>
          <w:rFonts w:asciiTheme="majorHAnsi" w:hAnsiTheme="majorHAnsi"/>
        </w:rPr>
        <w:t xml:space="preserve">dosta </w:t>
      </w:r>
      <w:r w:rsidR="00A62FA3" w:rsidRPr="00F17E37">
        <w:rPr>
          <w:rFonts w:asciiTheme="majorHAnsi" w:hAnsiTheme="majorHAnsi"/>
        </w:rPr>
        <w:t>manji u odnosu na 201</w:t>
      </w:r>
      <w:r w:rsidR="003E696D" w:rsidRPr="00F17E37">
        <w:rPr>
          <w:rFonts w:asciiTheme="majorHAnsi" w:hAnsiTheme="majorHAnsi"/>
        </w:rPr>
        <w:t>6</w:t>
      </w:r>
      <w:r w:rsidR="00A62FA3" w:rsidRPr="00F17E37">
        <w:rPr>
          <w:rFonts w:asciiTheme="majorHAnsi" w:hAnsiTheme="majorHAnsi"/>
        </w:rPr>
        <w:t>.g.</w:t>
      </w:r>
      <w:r w:rsidR="003E696D" w:rsidRPr="00F17E37">
        <w:rPr>
          <w:rFonts w:asciiTheme="majorHAnsi" w:hAnsiTheme="majorHAnsi"/>
        </w:rPr>
        <w:t>jer su neke stavke kao što je procjena po Pravilniku   u 2017. g.na računima ostalih rashoda.</w:t>
      </w:r>
    </w:p>
    <w:p w:rsidR="00FE240D" w:rsidRPr="00F17E37" w:rsidRDefault="00F37D0F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E696D" w:rsidRPr="00F17E37">
        <w:rPr>
          <w:rFonts w:asciiTheme="majorHAnsi" w:hAnsiTheme="majorHAnsi"/>
        </w:rPr>
        <w:t xml:space="preserve">U ostalim prihodima u iznosu od 200 KM se evidentirani prihodi po osnovu </w:t>
      </w:r>
      <w:r w:rsidR="0040666D" w:rsidRPr="00F17E37">
        <w:rPr>
          <w:rFonts w:asciiTheme="majorHAnsi" w:hAnsiTheme="majorHAnsi"/>
        </w:rPr>
        <w:t xml:space="preserve">izvršnog postupka </w:t>
      </w:r>
      <w:r w:rsidR="003E696D" w:rsidRPr="00F17E37">
        <w:rPr>
          <w:rFonts w:asciiTheme="majorHAnsi" w:hAnsiTheme="majorHAnsi"/>
        </w:rPr>
        <w:t xml:space="preserve"> opštine Zvornik </w:t>
      </w:r>
      <w:r w:rsidR="002525DD" w:rsidRPr="00F17E37">
        <w:rPr>
          <w:rFonts w:asciiTheme="majorHAnsi" w:hAnsiTheme="majorHAnsi"/>
        </w:rPr>
        <w:t xml:space="preserve"> a vezano za </w:t>
      </w:r>
      <w:r w:rsidR="003E696D" w:rsidRPr="00F17E37">
        <w:rPr>
          <w:rFonts w:asciiTheme="majorHAnsi" w:hAnsiTheme="majorHAnsi"/>
        </w:rPr>
        <w:t xml:space="preserve"> napla</w:t>
      </w:r>
      <w:r w:rsidR="002525DD" w:rsidRPr="00F17E37">
        <w:rPr>
          <w:rFonts w:asciiTheme="majorHAnsi" w:hAnsiTheme="majorHAnsi"/>
        </w:rPr>
        <w:t>t</w:t>
      </w:r>
      <w:r w:rsidR="003E696D" w:rsidRPr="00F17E37">
        <w:rPr>
          <w:rFonts w:asciiTheme="majorHAnsi" w:hAnsiTheme="majorHAnsi"/>
        </w:rPr>
        <w:t>u vatrogasnog doprinosa.</w:t>
      </w:r>
    </w:p>
    <w:p w:rsidR="003E696D" w:rsidRPr="00F17E37" w:rsidRDefault="003E696D" w:rsidP="00C11ACB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</w:p>
    <w:p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 3</w:t>
      </w:r>
      <w:r w:rsidR="00657A2E" w:rsidRPr="00F17E37">
        <w:rPr>
          <w:rFonts w:asciiTheme="majorHAnsi" w:hAnsiTheme="majorHAnsi"/>
          <w:b/>
          <w:u w:val="single"/>
        </w:rPr>
        <w:t>8</w:t>
      </w:r>
      <w:r w:rsidRPr="00F17E37">
        <w:rPr>
          <w:rFonts w:asciiTheme="majorHAnsi" w:hAnsiTheme="majorHAnsi"/>
          <w:b/>
          <w:u w:val="single"/>
        </w:rPr>
        <w:t>(AOP268)</w:t>
      </w:r>
    </w:p>
    <w:p w:rsidR="00A62FA3" w:rsidRPr="00F17E37" w:rsidRDefault="00A62FA3" w:rsidP="00591E04">
      <w:pPr>
        <w:pStyle w:val="Heading2"/>
        <w:spacing w:after="0"/>
      </w:pPr>
      <w:bookmarkStart w:id="73" w:name="_Toc507483712"/>
      <w:r w:rsidRPr="00F17E37">
        <w:t>Ostali rashodi</w:t>
      </w:r>
      <w:bookmarkEnd w:id="73"/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1126"/>
      </w:tblGrid>
      <w:tr w:rsidR="00A62FA3" w:rsidRPr="00F17E37" w:rsidTr="00DB04CB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76A1C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 w:rsidR="00C76A1C"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147677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4BB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29.913,91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26.262,37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A62FA3" w:rsidRPr="00F17E37" w:rsidTr="00147677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4BB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39.604,51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26.679,45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</w:t>
            </w:r>
          </w:p>
        </w:tc>
      </w:tr>
      <w:tr w:rsidR="00A62FA3" w:rsidRPr="00F17E37" w:rsidTr="00147677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4BB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15.161,66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19.963,64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A62FA3" w:rsidRPr="00F17E37" w:rsidTr="00147677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,reš.pu,ino usl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4BB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4.263,79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14.400,00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62FA3" w:rsidRPr="00F17E37" w:rsidTr="00F43047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4BB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42.076,85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20.688,79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203</w:t>
            </w:r>
          </w:p>
        </w:tc>
      </w:tr>
      <w:tr w:rsidR="00A62FA3" w:rsidRPr="00F17E37" w:rsidTr="00F43047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054BBA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="00E941F5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866,44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3.549,80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A62FA3" w:rsidRPr="00F17E37" w:rsidTr="00147677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135.887,16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C76A1C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101.544,05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941F5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</w:t>
            </w:r>
          </w:p>
        </w:tc>
      </w:tr>
    </w:tbl>
    <w:p w:rsidR="003140DE" w:rsidRPr="00F17E37" w:rsidRDefault="002B6D77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lastRenderedPageBreak/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:rsidR="00A62FA3" w:rsidRPr="00F17E37" w:rsidRDefault="002B6D77" w:rsidP="00671B3F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</w:t>
      </w:r>
      <w:r w:rsidR="004C2516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Ostali rashodi u iznosu od </w:t>
      </w:r>
      <w:r w:rsidR="00E941F5" w:rsidRPr="00F17E37">
        <w:rPr>
          <w:rFonts w:asciiTheme="majorHAnsi" w:hAnsiTheme="majorHAnsi"/>
        </w:rPr>
        <w:t>135.887,16 KM</w:t>
      </w:r>
      <w:r w:rsidR="00A62FA3" w:rsidRPr="00F17E37">
        <w:rPr>
          <w:rFonts w:asciiTheme="majorHAnsi" w:hAnsiTheme="majorHAnsi"/>
        </w:rPr>
        <w:t xml:space="preserve"> su u odnosu na 201</w:t>
      </w:r>
      <w:r w:rsidR="00E941F5" w:rsidRPr="00F17E37">
        <w:rPr>
          <w:rFonts w:asciiTheme="majorHAnsi" w:hAnsiTheme="majorHAnsi"/>
        </w:rPr>
        <w:t>6</w:t>
      </w:r>
      <w:r w:rsidR="00A62FA3" w:rsidRPr="00F17E37">
        <w:rPr>
          <w:rFonts w:asciiTheme="majorHAnsi" w:hAnsiTheme="majorHAnsi"/>
        </w:rPr>
        <w:t xml:space="preserve"> g. </w:t>
      </w:r>
      <w:r w:rsidR="00A97617" w:rsidRPr="00F17E37">
        <w:rPr>
          <w:rFonts w:asciiTheme="majorHAnsi" w:hAnsiTheme="majorHAnsi"/>
        </w:rPr>
        <w:t xml:space="preserve">veći </w:t>
      </w:r>
      <w:r w:rsidR="00A62FA3" w:rsidRPr="00F17E37">
        <w:rPr>
          <w:rFonts w:asciiTheme="majorHAnsi" w:hAnsiTheme="majorHAnsi"/>
        </w:rPr>
        <w:t xml:space="preserve"> za </w:t>
      </w:r>
      <w:r w:rsidR="00E941F5" w:rsidRPr="00F17E37">
        <w:rPr>
          <w:rFonts w:asciiTheme="majorHAnsi" w:hAnsiTheme="majorHAnsi"/>
        </w:rPr>
        <w:t>34</w:t>
      </w:r>
      <w:r w:rsidR="00A62FA3" w:rsidRPr="00F17E37">
        <w:rPr>
          <w:rFonts w:asciiTheme="majorHAnsi" w:hAnsiTheme="majorHAnsi"/>
        </w:rPr>
        <w:t>%.</w:t>
      </w:r>
    </w:p>
    <w:p w:rsidR="00DB04CB" w:rsidRPr="00F17E37" w:rsidRDefault="003E2993" w:rsidP="00317A9B">
      <w:pPr>
        <w:pStyle w:val="NoSpacing"/>
        <w:numPr>
          <w:ilvl w:val="0"/>
          <w:numId w:val="19"/>
        </w:numPr>
        <w:tabs>
          <w:tab w:val="left" w:pos="5245"/>
          <w:tab w:val="left" w:pos="9214"/>
          <w:tab w:val="left" w:pos="9356"/>
        </w:tabs>
        <w:spacing w:line="276" w:lineRule="auto"/>
        <w:ind w:right="-234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Rashodi  po osnovu gubitka osnovnih sredstava su nastali isknjižavanjem opreme koja je rashodovana: nabavne vrijednosti 110.003,59 KM,</w:t>
      </w:r>
      <w:r w:rsidR="00D733B7">
        <w:rPr>
          <w:rFonts w:asciiTheme="majorHAnsi" w:hAnsiTheme="majorHAnsi"/>
        </w:rPr>
        <w:t>ispravk</w:t>
      </w:r>
      <w:r w:rsidR="00F0287E">
        <w:rPr>
          <w:rFonts w:asciiTheme="majorHAnsi" w:hAnsiTheme="majorHAnsi"/>
        </w:rPr>
        <w:t>e</w:t>
      </w:r>
      <w:r w:rsidR="00D733B7">
        <w:rPr>
          <w:rFonts w:asciiTheme="majorHAnsi" w:hAnsiTheme="majorHAnsi"/>
        </w:rPr>
        <w:t xml:space="preserve"> vrijednosti</w:t>
      </w:r>
      <w:r w:rsidRPr="00F17E37">
        <w:rPr>
          <w:rFonts w:asciiTheme="majorHAnsi" w:hAnsiTheme="majorHAnsi"/>
        </w:rPr>
        <w:t xml:space="preserve"> 83.047,18KM</w:t>
      </w:r>
      <w:r w:rsidR="009C3CD4" w:rsidRPr="00F17E37">
        <w:rPr>
          <w:rFonts w:asciiTheme="majorHAnsi" w:hAnsiTheme="majorHAnsi"/>
        </w:rPr>
        <w:t xml:space="preserve"> i sadašnje vrijednosti 29.913,91KM.</w:t>
      </w:r>
    </w:p>
    <w:p w:rsidR="00FE240D" w:rsidRPr="00F17E37" w:rsidRDefault="009C3CD4" w:rsidP="00317A9B">
      <w:pPr>
        <w:pStyle w:val="NoSpacing"/>
        <w:numPr>
          <w:ilvl w:val="0"/>
          <w:numId w:val="19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Rashodi po osnovu otpisa potraživanja su nastali po osnovu direktnog otpisa regresa koji se nisu mogli naplatiti u iznosu 23.723,97KM</w:t>
      </w:r>
      <w:r w:rsidR="00251C13" w:rsidRPr="00F17E37">
        <w:rPr>
          <w:rFonts w:asciiTheme="majorHAnsi" w:hAnsiTheme="majorHAnsi"/>
        </w:rPr>
        <w:t>,po osnovu kaska u iznosu od 2.013,00 KM i ostalih potraživanja u iznosu od 600 KM</w:t>
      </w:r>
      <w:r w:rsidR="00317A9B" w:rsidRPr="00F17E37">
        <w:rPr>
          <w:rFonts w:asciiTheme="majorHAnsi" w:hAnsiTheme="majorHAnsi"/>
        </w:rPr>
        <w:t xml:space="preserve">                                                                                                        </w:t>
      </w:r>
      <w:r w:rsidR="00251C13" w:rsidRPr="00F17E37">
        <w:rPr>
          <w:rFonts w:asciiTheme="majorHAnsi" w:hAnsiTheme="majorHAnsi"/>
        </w:rPr>
        <w:t xml:space="preserve">Po Pravilniku o procjeni bilansnih i vanbilansnih pozicija </w:t>
      </w:r>
      <w:r w:rsidR="00317A9B" w:rsidRPr="00F17E37">
        <w:rPr>
          <w:rFonts w:asciiTheme="majorHAnsi" w:hAnsiTheme="majorHAnsi"/>
        </w:rPr>
        <w:t xml:space="preserve"> izvršen je otpis potraživanja na teret rashoda u</w:t>
      </w:r>
      <w:r w:rsidR="00462003" w:rsidRPr="00F17E37">
        <w:rPr>
          <w:rFonts w:asciiTheme="majorHAnsi" w:hAnsiTheme="majorHAnsi"/>
        </w:rPr>
        <w:t xml:space="preserve"> iznos</w:t>
      </w:r>
      <w:r w:rsidR="00317A9B" w:rsidRPr="00F17E37">
        <w:rPr>
          <w:rFonts w:asciiTheme="majorHAnsi" w:hAnsiTheme="majorHAnsi"/>
        </w:rPr>
        <w:t>u</w:t>
      </w:r>
      <w:r w:rsidR="00462003" w:rsidRPr="00F17E37">
        <w:rPr>
          <w:rFonts w:asciiTheme="majorHAnsi" w:hAnsiTheme="majorHAnsi"/>
        </w:rPr>
        <w:t xml:space="preserve"> od 13.267,54 KM,tako da su ukupno otpisana potraživanja 39.604,51KM.</w:t>
      </w:r>
    </w:p>
    <w:p w:rsidR="00251C13" w:rsidRPr="00F17E37" w:rsidRDefault="00251C13" w:rsidP="00317A9B">
      <w:pPr>
        <w:pStyle w:val="NoSpacing"/>
        <w:numPr>
          <w:ilvl w:val="0"/>
          <w:numId w:val="19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Akcije</w:t>
      </w:r>
      <w:r w:rsidR="00462003" w:rsidRPr="00F17E37">
        <w:rPr>
          <w:rFonts w:asciiTheme="majorHAnsi" w:hAnsiTheme="majorHAnsi"/>
        </w:rPr>
        <w:t>,investiciona imovina,</w:t>
      </w:r>
      <w:r w:rsidRPr="00F17E37">
        <w:rPr>
          <w:rFonts w:asciiTheme="majorHAnsi" w:hAnsiTheme="majorHAnsi"/>
        </w:rPr>
        <w:t xml:space="preserve"> kojima  društvo raspolaže i koje se  kotiraju na banjalučkoj berzi su imale negativan trend u iznosu od 15.161,66 KM.</w:t>
      </w:r>
    </w:p>
    <w:p w:rsidR="001D40EB" w:rsidRPr="00F17E37" w:rsidRDefault="001D40EB" w:rsidP="00317A9B">
      <w:pPr>
        <w:pStyle w:val="NoSpacing"/>
        <w:numPr>
          <w:ilvl w:val="0"/>
          <w:numId w:val="19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reshode po osnovu kazni su uključeni iznosi po osnovu prekršaja,plaćenih ino usluga na teret društva i reshod</w:t>
      </w:r>
      <w:r w:rsidR="00BE5A3D" w:rsidRPr="00F17E37">
        <w:rPr>
          <w:rFonts w:asciiTheme="majorHAnsi" w:hAnsiTheme="majorHAnsi"/>
        </w:rPr>
        <w:t>i</w:t>
      </w:r>
      <w:r w:rsidRPr="00F17E37">
        <w:rPr>
          <w:rFonts w:asciiTheme="majorHAnsi" w:hAnsiTheme="majorHAnsi"/>
        </w:rPr>
        <w:t xml:space="preserve"> po rešenju poreske uprave</w:t>
      </w:r>
      <w:r w:rsidR="00EF150A" w:rsidRPr="00F17E37">
        <w:rPr>
          <w:rFonts w:asciiTheme="majorHAnsi" w:hAnsiTheme="majorHAnsi"/>
        </w:rPr>
        <w:t xml:space="preserve"> u iznosu od 4.263,79KM.</w:t>
      </w:r>
    </w:p>
    <w:p w:rsidR="0021682D" w:rsidRPr="00F17E37" w:rsidRDefault="00EF150A" w:rsidP="0021682D">
      <w:pPr>
        <w:pStyle w:val="NoSpacing"/>
        <w:numPr>
          <w:ilvl w:val="0"/>
          <w:numId w:val="19"/>
        </w:numPr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ostalim rashodima</w:t>
      </w:r>
      <w:r w:rsidR="00BE5A3D" w:rsidRPr="00F17E37">
        <w:rPr>
          <w:rFonts w:asciiTheme="majorHAnsi" w:hAnsiTheme="majorHAnsi"/>
        </w:rPr>
        <w:t xml:space="preserve"> u iznosu od 4.866,44 KM</w:t>
      </w:r>
      <w:r w:rsidRPr="00F17E37">
        <w:rPr>
          <w:rFonts w:asciiTheme="majorHAnsi" w:hAnsiTheme="majorHAnsi"/>
        </w:rPr>
        <w:t xml:space="preserve"> a koji nisu pomenuti su evidentirani rashodi</w:t>
      </w:r>
      <w:r w:rsidR="00BE5A3D"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</w:rPr>
        <w:t xml:space="preserve"> po osnovu uslužno isplaćene štete 600KM,rtv pretplata 37,50 KM,obračunate šume za Brčko 201,09</w:t>
      </w:r>
      <w:r w:rsidR="001214E1" w:rsidRPr="00F17E37">
        <w:rPr>
          <w:rFonts w:asciiTheme="majorHAnsi" w:hAnsiTheme="majorHAnsi"/>
        </w:rPr>
        <w:t>, računi iz ranijih godina koji su došli u tekućem period 4.025,8</w:t>
      </w:r>
      <w:r w:rsidR="004329B8" w:rsidRPr="00F17E37">
        <w:rPr>
          <w:rFonts w:asciiTheme="majorHAnsi" w:hAnsiTheme="majorHAnsi"/>
        </w:rPr>
        <w:t>8</w:t>
      </w:r>
      <w:r w:rsidR="001214E1" w:rsidRPr="00F17E37">
        <w:rPr>
          <w:rFonts w:asciiTheme="majorHAnsi" w:hAnsiTheme="majorHAnsi"/>
        </w:rPr>
        <w:t xml:space="preserve"> i po osnovu izravnanja </w:t>
      </w:r>
      <w:r w:rsidR="004329B8" w:rsidRPr="00F17E37">
        <w:rPr>
          <w:rFonts w:asciiTheme="majorHAnsi" w:hAnsiTheme="majorHAnsi"/>
        </w:rPr>
        <w:t>1,97</w:t>
      </w:r>
      <w:r w:rsidR="001214E1" w:rsidRPr="00F17E37">
        <w:rPr>
          <w:rFonts w:asciiTheme="majorHAnsi" w:hAnsiTheme="majorHAnsi"/>
        </w:rPr>
        <w:t xml:space="preserve"> KM</w:t>
      </w:r>
      <w:r w:rsidR="0021682D" w:rsidRPr="00F17E37">
        <w:rPr>
          <w:rFonts w:asciiTheme="majorHAnsi" w:hAnsiTheme="majorHAnsi"/>
        </w:rPr>
        <w:t>.</w:t>
      </w:r>
      <w:r w:rsidR="003140DE" w:rsidRPr="00F17E37">
        <w:rPr>
          <w:rFonts w:asciiTheme="majorHAnsi" w:hAnsiTheme="majorHAnsi"/>
        </w:rPr>
        <w:t xml:space="preserve"> </w:t>
      </w:r>
    </w:p>
    <w:p w:rsidR="007843DB" w:rsidRDefault="007843DB" w:rsidP="0021682D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BE45D5" w:rsidRPr="00F17E37" w:rsidRDefault="003140DE" w:rsidP="0021682D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P</w:t>
      </w:r>
      <w:r w:rsidR="00A62FA3" w:rsidRPr="00F17E37">
        <w:rPr>
          <w:rFonts w:asciiTheme="majorHAnsi" w:hAnsiTheme="majorHAnsi"/>
        </w:rPr>
        <w:t>ravilnik</w:t>
      </w:r>
      <w:r w:rsidRPr="00F17E37">
        <w:rPr>
          <w:rFonts w:asciiTheme="majorHAnsi" w:hAnsiTheme="majorHAnsi"/>
        </w:rPr>
        <w:t>om</w:t>
      </w:r>
      <w:r w:rsidR="00A62FA3" w:rsidRPr="00F17E37">
        <w:rPr>
          <w:rFonts w:asciiTheme="majorHAnsi" w:hAnsiTheme="majorHAnsi"/>
        </w:rPr>
        <w:t xml:space="preserve"> o računovodstvu u djelu računovodstvenih politika ,,Ispravljanje grešaka,, predviđeno</w:t>
      </w:r>
      <w:r w:rsidRPr="00F17E37">
        <w:rPr>
          <w:rFonts w:asciiTheme="majorHAnsi" w:hAnsiTheme="majorHAnsi"/>
        </w:rPr>
        <w:t xml:space="preserve"> je</w:t>
      </w:r>
      <w:r w:rsidR="00A62FA3" w:rsidRPr="00F17E37">
        <w:rPr>
          <w:rFonts w:asciiTheme="majorHAnsi" w:hAnsiTheme="majorHAnsi"/>
        </w:rPr>
        <w:t xml:space="preserve"> da je značajna greška ona čiji ukupan ili pojedinačan iznos prelazi 0,2% od ukupnog</w:t>
      </w:r>
      <w:r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prihoda,navedenim troškovima nije izvršena korekcoja neraspoređene dobiti predhodne godine već su knjiženi kao rashodi perioda.</w:t>
      </w:r>
    </w:p>
    <w:p w:rsidR="003140DE" w:rsidRPr="00F17E37" w:rsidRDefault="003140DE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</w:p>
    <w:p w:rsidR="00BE45D5" w:rsidRPr="00F17E37" w:rsidRDefault="004F4C7F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>NOTA 39(AOP282)</w:t>
      </w:r>
    </w:p>
    <w:p w:rsidR="00BE45D5" w:rsidRPr="00235496" w:rsidRDefault="00235496" w:rsidP="00235496">
      <w:pPr>
        <w:pStyle w:val="Heading2"/>
      </w:pPr>
      <w:bookmarkStart w:id="74" w:name="_Toc507483713"/>
      <w:r w:rsidRPr="00235496">
        <w:t>Ostali ras</w:t>
      </w:r>
      <w:r w:rsidR="004F4C7F" w:rsidRPr="00235496">
        <w:t>hodi od usklađivnja vrijednosti imovine</w:t>
      </w:r>
      <w:bookmarkEnd w:id="74"/>
    </w:p>
    <w:p w:rsidR="005B4992" w:rsidRPr="00F17E37" w:rsidRDefault="005B4992" w:rsidP="003140D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4F4C7F" w:rsidRPr="00F17E37" w:rsidRDefault="005B4992" w:rsidP="003140D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>Naziv mjesta imovine</w:t>
      </w:r>
      <w:r w:rsidR="0021682D" w:rsidRPr="00F17E37">
        <w:rPr>
          <w:rFonts w:asciiTheme="majorHAnsi" w:hAnsiTheme="majorHAnsi"/>
          <w:b/>
        </w:rPr>
        <w:t xml:space="preserve">                 </w:t>
      </w:r>
      <w:r w:rsidR="004F4C7F" w:rsidRPr="00F17E37">
        <w:rPr>
          <w:rFonts w:asciiTheme="majorHAnsi" w:hAnsiTheme="majorHAnsi"/>
          <w:b/>
        </w:rPr>
        <w:t xml:space="preserve">  vrijednost prije procjene</w:t>
      </w:r>
      <w:r w:rsidR="0021682D" w:rsidRPr="00F17E37">
        <w:rPr>
          <w:rFonts w:asciiTheme="majorHAnsi" w:hAnsiTheme="majorHAnsi"/>
          <w:b/>
        </w:rPr>
        <w:t xml:space="preserve"> </w:t>
      </w:r>
      <w:r w:rsidR="00AC59BC" w:rsidRPr="00F17E37">
        <w:rPr>
          <w:rFonts w:asciiTheme="majorHAnsi" w:hAnsiTheme="majorHAnsi"/>
          <w:b/>
        </w:rPr>
        <w:t xml:space="preserve"> po procjeni               razlika</w:t>
      </w:r>
    </w:p>
    <w:p w:rsidR="00671B3F" w:rsidRPr="00F17E37" w:rsidRDefault="004F4C7F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F17E37">
        <w:rPr>
          <w:rFonts w:asciiTheme="majorHAnsi" w:hAnsiTheme="majorHAnsi"/>
          <w:sz w:val="20"/>
          <w:szCs w:val="20"/>
        </w:rPr>
        <w:t xml:space="preserve">Bnja Luka Mejdan            </w:t>
      </w:r>
      <w:r w:rsidR="005B4992" w:rsidRPr="00F17E37">
        <w:rPr>
          <w:rFonts w:asciiTheme="majorHAnsi" w:hAnsiTheme="majorHAnsi"/>
          <w:sz w:val="20"/>
          <w:szCs w:val="20"/>
        </w:rPr>
        <w:t xml:space="preserve">                           </w:t>
      </w:r>
      <w:r w:rsidRPr="00F17E37">
        <w:rPr>
          <w:rFonts w:asciiTheme="majorHAnsi" w:hAnsiTheme="majorHAnsi"/>
          <w:sz w:val="20"/>
          <w:szCs w:val="20"/>
        </w:rPr>
        <w:t xml:space="preserve">  3.102.093,55</w:t>
      </w:r>
      <w:r w:rsidR="00AC59BC" w:rsidRPr="00F17E37">
        <w:rPr>
          <w:rFonts w:asciiTheme="majorHAnsi" w:hAnsiTheme="majorHAnsi"/>
          <w:sz w:val="20"/>
          <w:szCs w:val="20"/>
        </w:rPr>
        <w:t xml:space="preserve">                    </w:t>
      </w:r>
      <w:r w:rsidR="001813EE" w:rsidRPr="00F17E37">
        <w:rPr>
          <w:rFonts w:asciiTheme="majorHAnsi" w:hAnsiTheme="majorHAnsi"/>
          <w:sz w:val="20"/>
          <w:szCs w:val="20"/>
        </w:rPr>
        <w:t xml:space="preserve">        </w:t>
      </w:r>
      <w:r w:rsidR="00AC59BC" w:rsidRPr="00F17E37">
        <w:rPr>
          <w:rFonts w:asciiTheme="majorHAnsi" w:hAnsiTheme="majorHAnsi"/>
          <w:sz w:val="20"/>
          <w:szCs w:val="20"/>
        </w:rPr>
        <w:t xml:space="preserve">      2.674.088             428.005,55</w:t>
      </w:r>
    </w:p>
    <w:p w:rsidR="004F4C7F" w:rsidRPr="00F17E37" w:rsidRDefault="00AC59B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F17E37">
        <w:rPr>
          <w:rFonts w:asciiTheme="majorHAnsi" w:hAnsiTheme="majorHAnsi"/>
          <w:sz w:val="20"/>
          <w:szCs w:val="20"/>
        </w:rPr>
        <w:t xml:space="preserve">Sokolac                                  </w:t>
      </w:r>
      <w:r w:rsidR="005B4992" w:rsidRPr="00F17E37">
        <w:rPr>
          <w:rFonts w:asciiTheme="majorHAnsi" w:hAnsiTheme="majorHAnsi"/>
          <w:sz w:val="20"/>
          <w:szCs w:val="20"/>
        </w:rPr>
        <w:t xml:space="preserve">                         </w:t>
      </w:r>
      <w:r w:rsidRPr="00F17E37">
        <w:rPr>
          <w:rFonts w:asciiTheme="majorHAnsi" w:hAnsiTheme="majorHAnsi"/>
          <w:sz w:val="20"/>
          <w:szCs w:val="20"/>
        </w:rPr>
        <w:t xml:space="preserve">  </w:t>
      </w:r>
      <w:r w:rsidR="005B4992" w:rsidRPr="00F17E37">
        <w:rPr>
          <w:rFonts w:asciiTheme="majorHAnsi" w:hAnsiTheme="majorHAnsi"/>
          <w:sz w:val="20"/>
          <w:szCs w:val="20"/>
        </w:rPr>
        <w:t xml:space="preserve">  </w:t>
      </w:r>
      <w:r w:rsidRPr="00F17E37">
        <w:rPr>
          <w:rFonts w:asciiTheme="majorHAnsi" w:hAnsiTheme="majorHAnsi"/>
          <w:sz w:val="20"/>
          <w:szCs w:val="20"/>
        </w:rPr>
        <w:t xml:space="preserve"> 509.984,31                           </w:t>
      </w:r>
      <w:r w:rsidR="001813EE" w:rsidRPr="00F17E37">
        <w:rPr>
          <w:rFonts w:asciiTheme="majorHAnsi" w:hAnsiTheme="majorHAnsi"/>
          <w:sz w:val="20"/>
          <w:szCs w:val="20"/>
        </w:rPr>
        <w:t xml:space="preserve">         </w:t>
      </w:r>
      <w:r w:rsidRPr="00F17E37">
        <w:rPr>
          <w:rFonts w:asciiTheme="majorHAnsi" w:hAnsiTheme="majorHAnsi"/>
          <w:sz w:val="20"/>
          <w:szCs w:val="20"/>
        </w:rPr>
        <w:t xml:space="preserve">  405.465              104.519,31</w:t>
      </w:r>
    </w:p>
    <w:p w:rsidR="004F4C7F" w:rsidRPr="00F17E37" w:rsidRDefault="00AC59B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  <w:u w:val="single"/>
        </w:rPr>
      </w:pPr>
      <w:r w:rsidRPr="00F17E37">
        <w:rPr>
          <w:rFonts w:asciiTheme="majorHAnsi" w:hAnsiTheme="majorHAnsi"/>
          <w:sz w:val="20"/>
          <w:szCs w:val="20"/>
          <w:u w:val="single"/>
        </w:rPr>
        <w:t xml:space="preserve">Bijeljina Trg,K.P.I              </w:t>
      </w:r>
      <w:r w:rsidR="005B4992" w:rsidRPr="00F17E37">
        <w:rPr>
          <w:rFonts w:asciiTheme="majorHAnsi" w:hAnsiTheme="majorHAnsi"/>
          <w:sz w:val="20"/>
          <w:szCs w:val="20"/>
          <w:u w:val="single"/>
        </w:rPr>
        <w:t xml:space="preserve">                           </w:t>
      </w:r>
      <w:r w:rsidRPr="00F17E37">
        <w:rPr>
          <w:rFonts w:asciiTheme="majorHAnsi" w:hAnsiTheme="majorHAnsi"/>
          <w:sz w:val="20"/>
          <w:szCs w:val="20"/>
          <w:u w:val="single"/>
        </w:rPr>
        <w:t xml:space="preserve"> 3.049.921,26                         </w:t>
      </w:r>
      <w:r w:rsidR="001813EE" w:rsidRPr="00F17E37">
        <w:rPr>
          <w:rFonts w:asciiTheme="majorHAnsi" w:hAnsiTheme="majorHAnsi"/>
          <w:sz w:val="20"/>
          <w:szCs w:val="20"/>
          <w:u w:val="single"/>
        </w:rPr>
        <w:t xml:space="preserve">         </w:t>
      </w:r>
      <w:r w:rsidRPr="00F17E37">
        <w:rPr>
          <w:rFonts w:asciiTheme="majorHAnsi" w:hAnsiTheme="majorHAnsi"/>
          <w:sz w:val="20"/>
          <w:szCs w:val="20"/>
          <w:u w:val="single"/>
        </w:rPr>
        <w:t xml:space="preserve"> 2.145.300              904.621,26</w:t>
      </w:r>
    </w:p>
    <w:p w:rsidR="003140DE" w:rsidRPr="00F17E37" w:rsidRDefault="001D19C5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</w:rPr>
      </w:pPr>
      <w:r w:rsidRPr="00F17E37">
        <w:rPr>
          <w:rFonts w:asciiTheme="majorHAnsi" w:hAnsiTheme="majorHAnsi"/>
        </w:rPr>
        <w:t xml:space="preserve">                                                                                                                           </w:t>
      </w:r>
      <w:r w:rsidR="005B4992" w:rsidRPr="00F17E37">
        <w:rPr>
          <w:rFonts w:asciiTheme="majorHAnsi" w:hAnsiTheme="majorHAnsi"/>
        </w:rPr>
        <w:t xml:space="preserve">                         </w:t>
      </w:r>
      <w:r w:rsidRPr="00F17E37">
        <w:rPr>
          <w:rFonts w:asciiTheme="majorHAnsi" w:hAnsiTheme="majorHAnsi"/>
        </w:rPr>
        <w:t xml:space="preserve">   </w:t>
      </w:r>
      <w:r w:rsidRPr="00F17E37">
        <w:rPr>
          <w:rFonts w:asciiTheme="majorHAnsi" w:hAnsiTheme="majorHAnsi"/>
          <w:sz w:val="20"/>
          <w:szCs w:val="20"/>
        </w:rPr>
        <w:t>1.437.146,10</w:t>
      </w:r>
    </w:p>
    <w:p w:rsidR="003140DE" w:rsidRPr="00F17E37" w:rsidRDefault="003140DE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</w:rPr>
      </w:pPr>
    </w:p>
    <w:p w:rsidR="0021682D" w:rsidRDefault="003140DE" w:rsidP="00EA2F6A">
      <w:pPr>
        <w:pStyle w:val="NoSpacing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potrebe izrade završnog računa</w:t>
      </w:r>
      <w:r w:rsidR="005B4992" w:rsidRPr="00F17E37">
        <w:rPr>
          <w:rFonts w:asciiTheme="majorHAnsi" w:hAnsiTheme="majorHAnsi"/>
        </w:rPr>
        <w:t xml:space="preserve">, </w:t>
      </w:r>
      <w:r w:rsidRPr="00F17E37">
        <w:rPr>
          <w:rFonts w:asciiTheme="majorHAnsi" w:hAnsiTheme="majorHAnsi"/>
        </w:rPr>
        <w:t xml:space="preserve"> izvršena je procjena investicionih nekretnina koje se ne amortizuju nego se u skladu sa MRS 40 vrednuju po fer vrijednosti  kroz bilans uspjeha u korist prihoda  i na teret rashoda.</w:t>
      </w:r>
      <w:r w:rsidR="005B4992" w:rsidRPr="00F17E37">
        <w:rPr>
          <w:rFonts w:asciiTheme="majorHAnsi" w:hAnsiTheme="majorHAnsi"/>
        </w:rPr>
        <w:t xml:space="preserve">U navedenoj noti  je dat samo </w:t>
      </w:r>
      <w:r w:rsidRPr="00F17E37">
        <w:rPr>
          <w:rFonts w:asciiTheme="majorHAnsi" w:hAnsiTheme="majorHAnsi"/>
        </w:rPr>
        <w:t xml:space="preserve"> pregled onih nekretnina koje su imale  prom</w:t>
      </w:r>
      <w:r w:rsidR="00EA2F6A" w:rsidRPr="00F17E37">
        <w:rPr>
          <w:rFonts w:asciiTheme="majorHAnsi" w:hAnsiTheme="majorHAnsi"/>
        </w:rPr>
        <w:t xml:space="preserve">jenu vrijednosti po procjeni. </w:t>
      </w:r>
    </w:p>
    <w:p w:rsidR="00F43047" w:rsidRDefault="00F43047" w:rsidP="00EA2F6A">
      <w:pPr>
        <w:pStyle w:val="NoSpacing"/>
        <w:rPr>
          <w:rFonts w:asciiTheme="majorHAnsi" w:hAnsiTheme="majorHAnsi"/>
        </w:rPr>
      </w:pPr>
    </w:p>
    <w:p w:rsidR="000014DB" w:rsidRPr="00F17E37" w:rsidRDefault="000014DB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sz w:val="20"/>
          <w:szCs w:val="20"/>
        </w:rPr>
      </w:pPr>
    </w:p>
    <w:p w:rsidR="00A62FA3" w:rsidRPr="00F17E37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sz w:val="28"/>
          <w:szCs w:val="28"/>
        </w:rPr>
      </w:pPr>
      <w:r w:rsidRPr="00F17E37">
        <w:rPr>
          <w:rFonts w:asciiTheme="majorHAnsi" w:hAnsiTheme="majorHAnsi"/>
        </w:rPr>
        <w:lastRenderedPageBreak/>
        <w:t xml:space="preserve"> </w:t>
      </w:r>
      <w:r w:rsidR="00A62FA3" w:rsidRPr="00F17E37">
        <w:rPr>
          <w:rFonts w:asciiTheme="majorHAnsi" w:hAnsiTheme="majorHAnsi"/>
          <w:b/>
          <w:sz w:val="28"/>
          <w:szCs w:val="28"/>
        </w:rPr>
        <w:t>Pregled finansijskog rezultata</w:t>
      </w:r>
    </w:p>
    <w:tbl>
      <w:tblPr>
        <w:tblW w:w="9161" w:type="dxa"/>
        <w:tblInd w:w="-5" w:type="dxa"/>
        <w:tblLook w:val="04A0" w:firstRow="1" w:lastRow="0" w:firstColumn="1" w:lastColumn="0" w:noHBand="0" w:noVBand="1"/>
      </w:tblPr>
      <w:tblGrid>
        <w:gridCol w:w="2075"/>
        <w:gridCol w:w="1013"/>
        <w:gridCol w:w="1834"/>
        <w:gridCol w:w="2299"/>
        <w:gridCol w:w="1940"/>
      </w:tblGrid>
      <w:tr w:rsidR="00A62FA3" w:rsidRPr="00F17E37" w:rsidTr="00812EE2">
        <w:trPr>
          <w:trHeight w:val="399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11F6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11F6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11F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BE45D5"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BE45D5" w:rsidP="00311F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311F6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Poslovni dobitak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0FA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9.493.811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E45D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7.968.284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prihodi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0FA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743.896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E45D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463.242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rashodi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0FA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160.979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E45D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5.188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3102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prihodi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0FA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1.872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E45D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15.444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012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rashodi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80FA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135.888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BE45D5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101.544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134</w:t>
            </w:r>
          </w:p>
        </w:tc>
      </w:tr>
      <w:tr w:rsidR="00EA2F6A" w:rsidRPr="00F17E37" w:rsidTr="00812EE2">
        <w:trPr>
          <w:trHeight w:val="404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F6A" w:rsidRPr="00F17E37" w:rsidRDefault="00311F69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 od usklađenja imovine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F6A" w:rsidRPr="00F17E37" w:rsidRDefault="00311F69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1.437.146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F6A" w:rsidRPr="00F17E37" w:rsidRDefault="00311F69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F6A" w:rsidRPr="00F17E37" w:rsidRDefault="00311F69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8.505.566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A2914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</w:t>
            </w:r>
            <w:r w:rsidR="00EA2F6A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340.238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Porez na dobit</w:t>
            </w:r>
          </w:p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881.158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A2914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833.271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11F69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106</w:t>
            </w:r>
          </w:p>
        </w:tc>
      </w:tr>
      <w:tr w:rsidR="00A62FA3" w:rsidRPr="00F17E37" w:rsidTr="00812EE2">
        <w:trPr>
          <w:trHeight w:val="399"/>
        </w:trPr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2FA3" w:rsidRPr="00F17E37" w:rsidRDefault="00A62FA3" w:rsidP="00A4510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Neto dobit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EA2F6A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7.624.408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1A2914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7.506.967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FA3" w:rsidRPr="00F17E37" w:rsidRDefault="00311F69" w:rsidP="00A4510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102</w:t>
            </w:r>
          </w:p>
        </w:tc>
      </w:tr>
    </w:tbl>
    <w:p w:rsidR="00A62FA3" w:rsidRPr="00F17E37" w:rsidRDefault="00A62FA3" w:rsidP="00C37591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21682D" w:rsidRPr="00F17E37" w:rsidRDefault="00A62FA3" w:rsidP="002D40B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</w:t>
      </w:r>
      <w:r w:rsidR="00BC2351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  </w:t>
      </w:r>
      <w:r w:rsidR="00BC2351" w:rsidRPr="00F17E37">
        <w:rPr>
          <w:rFonts w:asciiTheme="majorHAnsi" w:hAnsiTheme="majorHAnsi"/>
        </w:rPr>
        <w:t xml:space="preserve">Dobit poslovne godine je veća za 2% u odnosu na isti period predhodne godine.Pored ovog pokazatelja treba uzeti </w:t>
      </w:r>
      <w:r w:rsidR="00D2217C" w:rsidRPr="00F17E37">
        <w:rPr>
          <w:rFonts w:asciiTheme="majorHAnsi" w:hAnsiTheme="majorHAnsi"/>
        </w:rPr>
        <w:t xml:space="preserve"> u obzir da </w:t>
      </w:r>
      <w:r w:rsidR="002D40BE" w:rsidRPr="00F17E37">
        <w:rPr>
          <w:rFonts w:asciiTheme="majorHAnsi" w:hAnsiTheme="majorHAnsi"/>
        </w:rPr>
        <w:t xml:space="preserve">Društvo </w:t>
      </w:r>
      <w:r w:rsidR="00D2217C" w:rsidRPr="00F17E37">
        <w:rPr>
          <w:rFonts w:asciiTheme="majorHAnsi" w:hAnsiTheme="majorHAnsi"/>
        </w:rPr>
        <w:t xml:space="preserve"> ima dovoljno sredstava za pokriće tehničkih rezervi,</w:t>
      </w:r>
      <w:r w:rsidR="00323573" w:rsidRPr="00F17E37">
        <w:rPr>
          <w:rFonts w:asciiTheme="majorHAnsi" w:hAnsiTheme="majorHAnsi"/>
        </w:rPr>
        <w:t xml:space="preserve">da je </w:t>
      </w:r>
      <w:r w:rsidR="00D2217C" w:rsidRPr="00F17E37">
        <w:rPr>
          <w:rFonts w:asciiTheme="majorHAnsi" w:hAnsiTheme="majorHAnsi"/>
        </w:rPr>
        <w:t xml:space="preserve">adekvatnost kapitala </w:t>
      </w:r>
      <w:r w:rsidR="00323573" w:rsidRPr="00F17E37">
        <w:rPr>
          <w:rFonts w:asciiTheme="majorHAnsi" w:hAnsiTheme="majorHAnsi"/>
        </w:rPr>
        <w:t xml:space="preserve">i margina solventnosti u </w:t>
      </w:r>
      <w:r w:rsidR="00D2217C" w:rsidRPr="00F17E37">
        <w:rPr>
          <w:rFonts w:asciiTheme="majorHAnsi" w:hAnsiTheme="majorHAnsi"/>
        </w:rPr>
        <w:t xml:space="preserve"> skladu sa propisima </w:t>
      </w:r>
      <w:r w:rsidR="00323573" w:rsidRPr="00F17E37">
        <w:rPr>
          <w:rFonts w:asciiTheme="majorHAnsi" w:hAnsiTheme="majorHAnsi"/>
        </w:rPr>
        <w:t>i da je cilj Društva da posluje dugoročno i da postane jedno o</w:t>
      </w:r>
      <w:r w:rsidR="002D40BE" w:rsidRPr="00F17E37">
        <w:rPr>
          <w:rFonts w:asciiTheme="majorHAnsi" w:hAnsiTheme="majorHAnsi"/>
        </w:rPr>
        <w:t>d vodećih društava u osiguranju.</w:t>
      </w:r>
    </w:p>
    <w:p w:rsidR="00671B3F" w:rsidRDefault="00671B3F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1D338B" w:rsidRDefault="001D338B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1D338B" w:rsidRDefault="001D338B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812EE2" w:rsidRDefault="00812EE2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1D338B" w:rsidRDefault="001D338B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1D338B" w:rsidRDefault="001D338B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1D338B" w:rsidRDefault="001D338B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812EE2" w:rsidRDefault="00812EE2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F43047" w:rsidRDefault="00F43047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F43047" w:rsidRDefault="00F43047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F43047" w:rsidRDefault="00F43047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F43047" w:rsidRPr="00F17E37" w:rsidRDefault="00F43047" w:rsidP="009C7C2F">
      <w:pPr>
        <w:tabs>
          <w:tab w:val="left" w:pos="1905"/>
        </w:tabs>
        <w:rPr>
          <w:rFonts w:asciiTheme="majorHAnsi" w:hAnsiTheme="majorHAnsi"/>
          <w:lang w:val="sr-Latn-CS"/>
        </w:rPr>
      </w:pPr>
    </w:p>
    <w:p w:rsidR="0076377A" w:rsidRPr="00F17E37" w:rsidRDefault="00E77F03" w:rsidP="006D77D5">
      <w:pPr>
        <w:pStyle w:val="Heading1"/>
        <w:rPr>
          <w:lang w:val="sr-Latn-CS"/>
        </w:rPr>
      </w:pPr>
      <w:bookmarkStart w:id="75" w:name="_Toc507483714"/>
      <w:r w:rsidRPr="00F17E37">
        <w:rPr>
          <w:lang w:val="sr-Latn-CS"/>
        </w:rPr>
        <w:lastRenderedPageBreak/>
        <w:t>Note uz kretanje kapitala</w:t>
      </w:r>
      <w:bookmarkEnd w:id="75"/>
    </w:p>
    <w:p w:rsidR="006D2C69" w:rsidRPr="00F17E37" w:rsidRDefault="006D2C69" w:rsidP="006D2C69">
      <w:pPr>
        <w:rPr>
          <w:rFonts w:asciiTheme="majorHAnsi" w:hAnsiTheme="majorHAnsi"/>
          <w:lang w:val="sr-Latn-CS"/>
        </w:rPr>
      </w:pPr>
    </w:p>
    <w:p w:rsidR="006D77D5" w:rsidRPr="00F17E37" w:rsidRDefault="00294E89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NOTA </w:t>
      </w:r>
      <w:r w:rsidR="00670C1B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40</w:t>
      </w: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.</w:t>
      </w:r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(AOP103)</w:t>
      </w:r>
    </w:p>
    <w:p w:rsidR="00294E89" w:rsidRPr="00F17E37" w:rsidRDefault="00294E89" w:rsidP="006D77D5">
      <w:pPr>
        <w:pStyle w:val="Heading2"/>
        <w:rPr>
          <w:lang w:val="sr-Latn-CS"/>
        </w:rPr>
      </w:pPr>
      <w:bookmarkStart w:id="76" w:name="_Toc507483715"/>
      <w:r w:rsidRPr="00F17E37">
        <w:rPr>
          <w:rFonts w:eastAsia="Times New Roman"/>
        </w:rPr>
        <w:t>Akcijski kapital</w:t>
      </w:r>
      <w:bookmarkEnd w:id="76"/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9479"/>
        <w:gridCol w:w="1134"/>
        <w:gridCol w:w="1312"/>
        <w:gridCol w:w="1075"/>
        <w:gridCol w:w="1469"/>
        <w:gridCol w:w="1088"/>
      </w:tblGrid>
      <w:tr w:rsidR="00706A94" w:rsidRPr="00F17E37" w:rsidTr="0065138B">
        <w:trPr>
          <w:trHeight w:val="30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53" w:type="dxa"/>
              <w:tblLook w:val="04A0" w:firstRow="1" w:lastRow="0" w:firstColumn="1" w:lastColumn="0" w:noHBand="0" w:noVBand="1"/>
            </w:tblPr>
            <w:tblGrid>
              <w:gridCol w:w="3157"/>
              <w:gridCol w:w="1067"/>
              <w:gridCol w:w="1415"/>
              <w:gridCol w:w="958"/>
              <w:gridCol w:w="1176"/>
              <w:gridCol w:w="1480"/>
            </w:tblGrid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</w:rPr>
                    <w:t>Akcijski kapital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Kapital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Nominalna vrijednost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Učešće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Broj akcija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Iznos kapit.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Redovne akcije Nešković doo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4430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8.860.000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 eakcije D.Nešković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1,56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140.000</w:t>
                  </w:r>
                </w:p>
              </w:tc>
            </w:tr>
            <w:tr w:rsidR="00B46C2D" w:rsidRPr="00F17E3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4500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9.000.000</w:t>
                  </w:r>
                </w:p>
              </w:tc>
            </w:tr>
          </w:tbl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17E3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706A94" w:rsidRPr="00F17E37" w:rsidTr="0065138B">
        <w:trPr>
          <w:trHeight w:val="33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106D41">
            <w:pPr>
              <w:spacing w:after="0" w:line="240" w:lineRule="auto"/>
              <w:ind w:left="-93" w:firstLine="93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B46C2D" w:rsidRPr="00F17E37" w:rsidRDefault="0065138B" w:rsidP="006D2C69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Akcijski kapial se nije mjenjao u 201</w:t>
      </w:r>
      <w:r w:rsidR="005D6844" w:rsidRPr="00F17E37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>.g.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852"/>
        <w:gridCol w:w="1161"/>
        <w:gridCol w:w="1406"/>
        <w:gridCol w:w="997"/>
        <w:gridCol w:w="1305"/>
        <w:gridCol w:w="1471"/>
      </w:tblGrid>
      <w:tr w:rsidR="00B46C2D" w:rsidRPr="00F17E3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670C1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NOTA 4</w:t>
            </w:r>
            <w:r w:rsidR="00670C1B"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.(AOP 923)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C2D" w:rsidRPr="00F17E37" w:rsidRDefault="00B46C2D" w:rsidP="00294E89">
            <w:pPr>
              <w:pStyle w:val="Heading2"/>
              <w:rPr>
                <w:rFonts w:eastAsia="Times New Roman"/>
              </w:rPr>
            </w:pPr>
            <w:bookmarkStart w:id="77" w:name="_Toc507483716"/>
            <w:r w:rsidRPr="00F17E37">
              <w:rPr>
                <w:rFonts w:eastAsia="Times New Roman"/>
              </w:rPr>
              <w:t>Kretanje kapitala</w:t>
            </w:r>
            <w:bookmarkEnd w:id="77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7843DB" w:rsidP="007843D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 kapital</w:t>
            </w:r>
          </w:p>
        </w:tc>
      </w:tr>
      <w:tr w:rsidR="00B46C2D" w:rsidRPr="00F17E37" w:rsidTr="004E66FE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237F5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 stanje na dan 01.01.201</w:t>
            </w:r>
            <w:r w:rsidR="00237F5A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5D684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2.</w:t>
            </w:r>
            <w:r w:rsidR="005D6844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020.624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237F5A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8.045.001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237F5A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19.965.625</w:t>
            </w:r>
          </w:p>
        </w:tc>
      </w:tr>
      <w:tr w:rsidR="00B46C2D" w:rsidRPr="00F17E37" w:rsidTr="004E66FE">
        <w:trPr>
          <w:trHeight w:val="8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Efekti revalorizacije materijalnih i nematerijalnih sredstava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9E53FC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-90.743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9E53FC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-90.743</w:t>
            </w:r>
          </w:p>
        </w:tc>
      </w:tr>
      <w:tr w:rsidR="00B46C2D" w:rsidRPr="00F17E37" w:rsidTr="009E53FC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dobici/ gubici perioda priznati direktno u kapitalu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9E53FC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90.743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FC" w:rsidRPr="00F17E37" w:rsidRDefault="009E53FC" w:rsidP="009E53FC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:rsidR="009E53FC" w:rsidRPr="00F17E37" w:rsidRDefault="009E53FC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90.743</w:t>
            </w:r>
          </w:p>
        </w:tc>
      </w:tr>
      <w:tr w:rsidR="00B46C2D" w:rsidRPr="00F17E37" w:rsidTr="004E66FE">
        <w:trPr>
          <w:trHeight w:val="77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Objavljene dividende i drugi vidovi raspodjele dobitka i pokriće gubitka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9E53FC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="00B46C2D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7.500.000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-7.500.000</w:t>
            </w: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Neto dobici kroz bilans uspjeha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9E53FC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7.624.408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7A" w:rsidRPr="00F17E37" w:rsidRDefault="009E53FC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7.624.408</w:t>
            </w: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46C2D" w:rsidRPr="00F17E37" w:rsidTr="00237F5A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C2D" w:rsidRPr="00F17E37" w:rsidRDefault="00B46C2D" w:rsidP="005D6844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Stanje na dan 31.12.201</w:t>
            </w:r>
            <w:r w:rsidR="005D6844"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.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9E53FC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1.929.881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900.000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9E53FC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8.260.152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C2D" w:rsidRPr="00F17E37" w:rsidRDefault="009E53FC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20.090.033</w:t>
            </w:r>
          </w:p>
        </w:tc>
      </w:tr>
    </w:tbl>
    <w:p w:rsidR="00776104" w:rsidRPr="00F17E37" w:rsidRDefault="00776104" w:rsidP="00B46C2D">
      <w:pPr>
        <w:rPr>
          <w:rFonts w:asciiTheme="majorHAnsi" w:hAnsiTheme="majorHAnsi"/>
          <w:lang w:val="sr-Latn-CS"/>
        </w:rPr>
      </w:pPr>
    </w:p>
    <w:p w:rsidR="0065138B" w:rsidRPr="00F17E37" w:rsidRDefault="0076377A" w:rsidP="009E53FC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</w:t>
      </w:r>
      <w:r w:rsidR="006E35A0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  U</w:t>
      </w:r>
      <w:r w:rsidR="006E35A0">
        <w:rPr>
          <w:rFonts w:asciiTheme="majorHAnsi" w:hAnsiTheme="majorHAnsi"/>
          <w:lang w:val="sr-Latn-CS"/>
        </w:rPr>
        <w:t xml:space="preserve">kupni kapital  Društva je </w:t>
      </w:r>
      <w:r w:rsidRPr="00F17E37">
        <w:rPr>
          <w:rFonts w:asciiTheme="majorHAnsi" w:hAnsiTheme="majorHAnsi"/>
          <w:lang w:val="sr-Latn-CS"/>
        </w:rPr>
        <w:t xml:space="preserve"> toku 201</w:t>
      </w:r>
      <w:r w:rsidR="000C4C77" w:rsidRPr="00F17E37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 xml:space="preserve">.g. smanjen po osnovu odluke o raspodjeli dobiti </w:t>
      </w:r>
      <w:r w:rsidR="000014DB" w:rsidRPr="00F17E37">
        <w:rPr>
          <w:rFonts w:asciiTheme="majorHAnsi" w:hAnsiTheme="majorHAnsi"/>
          <w:lang w:val="sr-Latn-CS"/>
        </w:rPr>
        <w:t xml:space="preserve"> za </w:t>
      </w:r>
      <w:r w:rsidRPr="00F17E37">
        <w:rPr>
          <w:rFonts w:asciiTheme="majorHAnsi" w:hAnsiTheme="majorHAnsi"/>
          <w:lang w:val="sr-Latn-CS"/>
        </w:rPr>
        <w:t>201</w:t>
      </w:r>
      <w:r w:rsidR="000C4C77" w:rsidRPr="00F17E37">
        <w:rPr>
          <w:rFonts w:asciiTheme="majorHAnsi" w:hAnsiTheme="majorHAnsi"/>
          <w:lang w:val="sr-Latn-CS"/>
        </w:rPr>
        <w:t>6</w:t>
      </w:r>
      <w:r w:rsidRPr="00F17E37">
        <w:rPr>
          <w:rFonts w:asciiTheme="majorHAnsi" w:hAnsiTheme="majorHAnsi"/>
          <w:lang w:val="sr-Latn-CS"/>
        </w:rPr>
        <w:t>.g.na akcionare doo Neškov</w:t>
      </w:r>
      <w:r w:rsidR="006E35A0">
        <w:rPr>
          <w:rFonts w:asciiTheme="majorHAnsi" w:hAnsiTheme="majorHAnsi"/>
          <w:lang w:val="sr-Latn-CS"/>
        </w:rPr>
        <w:t>ić Bijeljina i Dragana Nešković  i</w:t>
      </w:r>
      <w:r w:rsidRPr="00F17E37">
        <w:rPr>
          <w:rFonts w:asciiTheme="majorHAnsi" w:hAnsiTheme="majorHAnsi"/>
          <w:lang w:val="sr-Latn-CS"/>
        </w:rPr>
        <w:t xml:space="preserve"> ukidanjem revalorizacini rezervi u iznosu od </w:t>
      </w:r>
      <w:r w:rsidR="009E53FC" w:rsidRPr="00F17E37">
        <w:rPr>
          <w:rFonts w:asciiTheme="majorHAnsi" w:hAnsiTheme="majorHAnsi"/>
          <w:lang w:val="sr-Latn-CS"/>
        </w:rPr>
        <w:t>90.743KM</w:t>
      </w:r>
      <w:r w:rsidR="006E35A0">
        <w:rPr>
          <w:rFonts w:asciiTheme="majorHAnsi" w:hAnsiTheme="majorHAnsi"/>
          <w:lang w:val="sr-Latn-CS"/>
        </w:rPr>
        <w:t xml:space="preserve">.                                                                                                                                                                         </w:t>
      </w:r>
      <w:r w:rsidRPr="00F17E37">
        <w:rPr>
          <w:rFonts w:asciiTheme="majorHAnsi" w:hAnsiTheme="majorHAnsi"/>
          <w:lang w:val="sr-Latn-CS"/>
        </w:rPr>
        <w:t>Društvo je ostvarilo dobit po osnovu obavljanja redovne djelatnosti kroz bilan</w:t>
      </w:r>
      <w:r w:rsidR="006D2C69" w:rsidRPr="00F17E37">
        <w:rPr>
          <w:rFonts w:asciiTheme="majorHAnsi" w:hAnsiTheme="majorHAnsi"/>
          <w:lang w:val="sr-Latn-CS"/>
        </w:rPr>
        <w:t>s uspjeha u iznosu od</w:t>
      </w:r>
    </w:p>
    <w:p w:rsidR="006D2C69" w:rsidRPr="00F17E37" w:rsidRDefault="006D2C69" w:rsidP="000014DB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7.</w:t>
      </w:r>
      <w:r w:rsidR="009E53FC" w:rsidRPr="00F17E37">
        <w:rPr>
          <w:rFonts w:asciiTheme="majorHAnsi" w:hAnsiTheme="majorHAnsi"/>
          <w:lang w:val="sr-Latn-CS"/>
        </w:rPr>
        <w:t>624.408KM</w:t>
      </w:r>
      <w:r w:rsidRPr="00F17E37">
        <w:rPr>
          <w:rFonts w:asciiTheme="majorHAnsi" w:hAnsiTheme="majorHAnsi"/>
          <w:lang w:val="sr-Latn-CS"/>
        </w:rPr>
        <w:t xml:space="preserve"> i ukidanjem rev</w:t>
      </w:r>
      <w:r w:rsidR="000014DB" w:rsidRPr="00F17E37">
        <w:rPr>
          <w:rFonts w:asciiTheme="majorHAnsi" w:hAnsiTheme="majorHAnsi"/>
          <w:lang w:val="sr-Latn-CS"/>
        </w:rPr>
        <w:t xml:space="preserve">alorizacionih </w:t>
      </w:r>
      <w:r w:rsidRPr="00F17E37">
        <w:rPr>
          <w:rFonts w:asciiTheme="majorHAnsi" w:hAnsiTheme="majorHAnsi"/>
          <w:lang w:val="sr-Latn-CS"/>
        </w:rPr>
        <w:t xml:space="preserve">rezervi u korist ne raspoređene dobiti u iznosu od </w:t>
      </w:r>
      <w:r w:rsidR="00387326" w:rsidRPr="00F17E37">
        <w:rPr>
          <w:rFonts w:asciiTheme="majorHAnsi" w:hAnsiTheme="majorHAnsi"/>
          <w:lang w:val="sr-Latn-CS"/>
        </w:rPr>
        <w:t xml:space="preserve">90.743KM </w:t>
      </w:r>
      <w:r w:rsidR="006E35A0">
        <w:rPr>
          <w:rFonts w:asciiTheme="majorHAnsi" w:hAnsiTheme="majorHAnsi"/>
          <w:lang w:val="sr-Latn-CS"/>
        </w:rPr>
        <w:t>KM.</w:t>
      </w:r>
    </w:p>
    <w:tbl>
      <w:tblPr>
        <w:tblW w:w="11816" w:type="dxa"/>
        <w:tblInd w:w="93" w:type="dxa"/>
        <w:tblLook w:val="04A0" w:firstRow="1" w:lastRow="0" w:firstColumn="1" w:lastColumn="0" w:noHBand="0" w:noVBand="1"/>
      </w:tblPr>
      <w:tblGrid>
        <w:gridCol w:w="3304"/>
        <w:gridCol w:w="284"/>
        <w:gridCol w:w="3171"/>
        <w:gridCol w:w="191"/>
        <w:gridCol w:w="14"/>
        <w:gridCol w:w="1557"/>
        <w:gridCol w:w="14"/>
        <w:gridCol w:w="617"/>
        <w:gridCol w:w="708"/>
        <w:gridCol w:w="617"/>
        <w:gridCol w:w="14"/>
        <w:gridCol w:w="1311"/>
        <w:gridCol w:w="14"/>
      </w:tblGrid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6E35A0" w:rsidP="00096EDD">
            <w:pPr>
              <w:spacing w:after="0" w:line="240" w:lineRule="auto"/>
              <w:ind w:right="-250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</w:rPr>
              <w:t>Ukupni kapital Društva 31.12.2017.g. iznosi 20.090.033 KM.</w:t>
            </w:r>
          </w:p>
          <w:p w:rsidR="009E53FC" w:rsidRPr="00F17E37" w:rsidRDefault="009E53FC" w:rsidP="00096EDD">
            <w:pPr>
              <w:pStyle w:val="Heading1"/>
              <w:rPr>
                <w:rFonts w:eastAsia="Times New Roman"/>
              </w:rPr>
            </w:pPr>
            <w:bookmarkStart w:id="78" w:name="_Toc507483717"/>
            <w:r w:rsidRPr="00F17E37">
              <w:rPr>
                <w:rFonts w:eastAsia="Times New Roman"/>
              </w:rPr>
              <w:lastRenderedPageBreak/>
              <w:t>Note uz bilans novčanih tokova</w:t>
            </w:r>
            <w:bookmarkEnd w:id="78"/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42.(AOP501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)</w:t>
            </w:r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A.I .Prilivi gotovine iz poslovnih aktivnosti 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Naplaćena premija  do 31.12.2017.                        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16.989.296,07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Primljeni avansi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-991,66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kam.rez.fonda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7.059,76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regresa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217.840,91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 šteta na osnovnim sredstvima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uslužno isplaćenih šteta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1310,00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zk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216.950,00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usl.zapisnika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ind w:right="-336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Pprilivi po osnovu  ostalog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14.198,70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Pprilivi po osnovu zakupa i ostalo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363.641,76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otkupa šteta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8.518,33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tabs>
                <w:tab w:val="left" w:pos="2265"/>
              </w:tabs>
              <w:spacing w:after="0" w:line="240" w:lineRule="auto"/>
              <w:ind w:right="-194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vat.dop.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6.608,10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naplate otpisanih pot.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1.460,00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17.827.441,97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43(AOP506)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II.Odlivi gotovine iz poslovne aktivnosti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Odlivi po osnovu plaćenih šteta 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3.730.895,19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Olivi po osnovu datih avansa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2.852,08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 plaćene premije reosiguranja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587.227,08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Bosna re i Biro zk.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isplaćene bruto plate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1.261.800,00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troškova sprovođenja osiguranja,direktni porezi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837.397,40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dobavljači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3.903.422,97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kompezacije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-265.161,95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st.datih avansa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-19.674,48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ulaganja u stal.sr.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-2.583.220,94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plaćeni porez na  dobit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822.356,00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3"/>
          <w:wAfter w:w="1339" w:type="dxa"/>
          <w:trHeight w:val="300"/>
        </w:trPr>
        <w:tc>
          <w:tcPr>
            <w:tcW w:w="3304" w:type="dxa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ostali odlivi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pStyle w:val="ListParagraph"/>
              <w:spacing w:after="0" w:line="240" w:lineRule="auto"/>
              <w:ind w:left="36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iCs/>
                <w:color w:val="000000"/>
                <w:sz w:val="20"/>
                <w:szCs w:val="20"/>
              </w:rPr>
              <w:t>21.976,00</w:t>
            </w:r>
          </w:p>
        </w:tc>
        <w:tc>
          <w:tcPr>
            <w:tcW w:w="617" w:type="dxa"/>
            <w:shd w:val="clear" w:color="auto" w:fill="auto"/>
            <w:noWrap/>
            <w:vAlign w:val="bottom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8521" w:type="dxa"/>
            <w:gridSpan w:val="6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8.299.869,35                              </w:t>
            </w:r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</w:p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III.Neto prilivi gotovine po osnovu  poslovnih aktivnosti iznose 9.527.572,62 KM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44(AOP517)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B.I.Prilivi gotovine po osnovu investiranja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Prilivi po osnovu kratkoročnih depozita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10.462.880,00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 xml:space="preserve">Prilivi po osnovu kamata  na depozite i zajamove 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270.311,00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trHeight w:val="255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10.733.191,00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3588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45(AOP524)</w:t>
            </w:r>
          </w:p>
        </w:tc>
        <w:tc>
          <w:tcPr>
            <w:tcW w:w="3362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II.Odlivi gotovine po osnovu investiranja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Odlivi po osnovu ulaganje u kratk.i dugoročne depozite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10.844.664,00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Ulaganja u osnovna sresdstva,opremu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2.584.895,00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13.429.559,00</w:t>
            </w: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III.Po osnovu inestiranja neto odliv gotovine je 2.696.368 KM</w:t>
            </w: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u w:val="single"/>
              </w:rPr>
              <w:t>NOTA 46(AOP541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C.Odlivi gotovine iz aktivnosti finansiranja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6950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II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.Isplaćena dividenda akcionarima po odluci o raspodjeli za 2015.g.</w:t>
            </w: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6.500.000,00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3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57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E53FC" w:rsidRPr="00F17E37" w:rsidTr="009E53FC">
        <w:trPr>
          <w:gridAfter w:val="1"/>
          <w:wAfter w:w="14" w:type="dxa"/>
          <w:trHeight w:val="300"/>
        </w:trPr>
        <w:tc>
          <w:tcPr>
            <w:tcW w:w="8521" w:type="dxa"/>
            <w:gridSpan w:val="6"/>
            <w:shd w:val="clear" w:color="auto" w:fill="auto"/>
            <w:noWrap/>
            <w:vAlign w:val="bottom"/>
            <w:hideMark/>
          </w:tcPr>
          <w:p w:rsidR="009E53FC" w:rsidRPr="00F17E37" w:rsidRDefault="009E53FC" w:rsidP="00096ED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III.Neto odlivi gotovine po osnovu  aktivnosti finansiranja je 6.500.000 KM</w:t>
            </w:r>
            <w:r w:rsidRPr="00F17E37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9E53FC" w:rsidRPr="00F17E37" w:rsidTr="009E53FC">
        <w:trPr>
          <w:trHeight w:val="300"/>
        </w:trPr>
        <w:tc>
          <w:tcPr>
            <w:tcW w:w="330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6" w:type="dxa"/>
            <w:gridSpan w:val="4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shd w:val="clear" w:color="auto" w:fill="auto"/>
            <w:noWrap/>
            <w:vAlign w:val="bottom"/>
            <w:hideMark/>
          </w:tcPr>
          <w:p w:rsidR="009E53FC" w:rsidRPr="00F17E37" w:rsidRDefault="009E53FC" w:rsidP="001E1F4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76513" w:rsidRPr="00F17E37" w:rsidRDefault="00C76513" w:rsidP="0065138B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C37591" w:rsidRPr="00F17E37" w:rsidRDefault="0065138B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Posle svih priliiva </w:t>
      </w:r>
      <w:r w:rsidR="00036D2E" w:rsidRPr="00F17E37">
        <w:rPr>
          <w:rFonts w:asciiTheme="majorHAnsi" w:hAnsiTheme="majorHAnsi"/>
          <w:lang w:val="sr-Latn-CS"/>
        </w:rPr>
        <w:t>28.560.632KM</w:t>
      </w:r>
      <w:r w:rsidRPr="00F17E37">
        <w:rPr>
          <w:rFonts w:asciiTheme="majorHAnsi" w:hAnsiTheme="majorHAnsi"/>
          <w:lang w:val="sr-Latn-CS"/>
        </w:rPr>
        <w:t xml:space="preserve"> i odliva gotovine </w:t>
      </w:r>
      <w:r w:rsidR="00036D2E" w:rsidRPr="00F17E37">
        <w:rPr>
          <w:rFonts w:asciiTheme="majorHAnsi" w:hAnsiTheme="majorHAnsi"/>
          <w:lang w:val="sr-Latn-CS"/>
        </w:rPr>
        <w:t>28.229.428 KM</w:t>
      </w:r>
      <w:r w:rsidRPr="00F17E37">
        <w:rPr>
          <w:rFonts w:asciiTheme="majorHAnsi" w:hAnsiTheme="majorHAnsi"/>
          <w:lang w:val="sr-Latn-CS"/>
        </w:rPr>
        <w:t xml:space="preserve">,uzimajući u obzir početno stanje gotovine od </w:t>
      </w:r>
      <w:r w:rsidR="00036D2E" w:rsidRPr="00F17E37">
        <w:rPr>
          <w:rFonts w:asciiTheme="majorHAnsi" w:hAnsiTheme="majorHAnsi"/>
          <w:lang w:val="sr-Latn-CS"/>
        </w:rPr>
        <w:t>759.331</w:t>
      </w:r>
      <w:r w:rsidRPr="00F17E37">
        <w:rPr>
          <w:rFonts w:asciiTheme="majorHAnsi" w:hAnsiTheme="majorHAnsi"/>
          <w:lang w:val="sr-Latn-CS"/>
        </w:rPr>
        <w:t xml:space="preserve"> KM, 31.12.201</w:t>
      </w:r>
      <w:r w:rsidR="00036D2E" w:rsidRPr="00F17E37"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 xml:space="preserve">.g.gotovina iznosi </w:t>
      </w:r>
      <w:r w:rsidR="00036D2E" w:rsidRPr="00F17E37">
        <w:rPr>
          <w:rFonts w:asciiTheme="majorHAnsi" w:hAnsiTheme="majorHAnsi"/>
          <w:lang w:val="sr-Latn-CS"/>
        </w:rPr>
        <w:t>1.090.535</w:t>
      </w:r>
      <w:r w:rsidRPr="00F17E37">
        <w:rPr>
          <w:rFonts w:asciiTheme="majorHAnsi" w:hAnsiTheme="majorHAnsi"/>
          <w:lang w:val="sr-Latn-CS"/>
        </w:rPr>
        <w:t xml:space="preserve"> KM.</w:t>
      </w:r>
    </w:p>
    <w:p w:rsidR="00D70737" w:rsidRPr="00F17E37" w:rsidRDefault="00D70737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:rsidR="00D70737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Bijeljina,28.02.2018.g.                                                                                    </w:t>
      </w:r>
      <w:r w:rsidRPr="00F17E37">
        <w:rPr>
          <w:rFonts w:asciiTheme="majorHAnsi" w:hAnsiTheme="majorHAnsi"/>
          <w:b/>
          <w:lang w:val="sr-Latn-CS"/>
        </w:rPr>
        <w:t>DIREKTOR</w:t>
      </w:r>
    </w:p>
    <w:p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                   Milenko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6D" w:rsidRDefault="00062B6D" w:rsidP="00FD2AFC">
      <w:pPr>
        <w:spacing w:after="0" w:line="240" w:lineRule="auto"/>
      </w:pPr>
      <w:r>
        <w:separator/>
      </w:r>
    </w:p>
  </w:endnote>
  <w:endnote w:type="continuationSeparator" w:id="0">
    <w:p w:rsidR="00062B6D" w:rsidRDefault="00062B6D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61018"/>
      <w:docPartObj>
        <w:docPartGallery w:val="Page Numbers (Bottom of Page)"/>
        <w:docPartUnique/>
      </w:docPartObj>
    </w:sdtPr>
    <w:sdtEndPr/>
    <w:sdtContent>
      <w:p w:rsidR="001059E4" w:rsidRDefault="001059E4" w:rsidP="00E0442A">
        <w:pPr>
          <w:pStyle w:val="Footer"/>
          <w:tabs>
            <w:tab w:val="left" w:pos="85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9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9E4" w:rsidRDefault="001059E4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6D" w:rsidRDefault="00062B6D" w:rsidP="00FD2AFC">
      <w:pPr>
        <w:spacing w:after="0" w:line="240" w:lineRule="auto"/>
      </w:pPr>
      <w:r>
        <w:separator/>
      </w:r>
    </w:p>
  </w:footnote>
  <w:footnote w:type="continuationSeparator" w:id="0">
    <w:p w:rsidR="00062B6D" w:rsidRDefault="00062B6D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59E4" w:rsidRDefault="001059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Note-napomene uz finansijski izvještaj  za period od 01.01.201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7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-31.12.201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7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:rsidR="001059E4" w:rsidRPr="00370EED" w:rsidRDefault="001059E4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42AB"/>
    <w:multiLevelType w:val="hybridMultilevel"/>
    <w:tmpl w:val="A06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51030D"/>
    <w:multiLevelType w:val="multilevel"/>
    <w:tmpl w:val="5380A75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6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014DB"/>
    <w:rsid w:val="00011DF9"/>
    <w:rsid w:val="00012B28"/>
    <w:rsid w:val="00016D87"/>
    <w:rsid w:val="00026DC4"/>
    <w:rsid w:val="00027853"/>
    <w:rsid w:val="00034B29"/>
    <w:rsid w:val="00034B5E"/>
    <w:rsid w:val="00036D2E"/>
    <w:rsid w:val="00037A52"/>
    <w:rsid w:val="00041CC2"/>
    <w:rsid w:val="00046444"/>
    <w:rsid w:val="00047C96"/>
    <w:rsid w:val="00047FAB"/>
    <w:rsid w:val="00050B87"/>
    <w:rsid w:val="00051B9B"/>
    <w:rsid w:val="00052885"/>
    <w:rsid w:val="00054BBA"/>
    <w:rsid w:val="0005763B"/>
    <w:rsid w:val="00062B6D"/>
    <w:rsid w:val="00076C1A"/>
    <w:rsid w:val="000773C7"/>
    <w:rsid w:val="000775B5"/>
    <w:rsid w:val="00087C6B"/>
    <w:rsid w:val="0009080C"/>
    <w:rsid w:val="0009108B"/>
    <w:rsid w:val="000935AB"/>
    <w:rsid w:val="00094E23"/>
    <w:rsid w:val="00096EDD"/>
    <w:rsid w:val="000A3F73"/>
    <w:rsid w:val="000A65DA"/>
    <w:rsid w:val="000B208D"/>
    <w:rsid w:val="000B727B"/>
    <w:rsid w:val="000C4C77"/>
    <w:rsid w:val="000C62EA"/>
    <w:rsid w:val="000C7B7C"/>
    <w:rsid w:val="000D5896"/>
    <w:rsid w:val="000E38CC"/>
    <w:rsid w:val="000E5AC6"/>
    <w:rsid w:val="000E6B6C"/>
    <w:rsid w:val="000E757D"/>
    <w:rsid w:val="000F15B5"/>
    <w:rsid w:val="00100909"/>
    <w:rsid w:val="0010236E"/>
    <w:rsid w:val="00104AAE"/>
    <w:rsid w:val="001059E4"/>
    <w:rsid w:val="00106D41"/>
    <w:rsid w:val="0011188A"/>
    <w:rsid w:val="0011783E"/>
    <w:rsid w:val="00117A43"/>
    <w:rsid w:val="00121028"/>
    <w:rsid w:val="001214E1"/>
    <w:rsid w:val="001337A3"/>
    <w:rsid w:val="001355A4"/>
    <w:rsid w:val="00135756"/>
    <w:rsid w:val="00141E15"/>
    <w:rsid w:val="0014449B"/>
    <w:rsid w:val="00147677"/>
    <w:rsid w:val="0015321E"/>
    <w:rsid w:val="001570E9"/>
    <w:rsid w:val="001601E1"/>
    <w:rsid w:val="00164A60"/>
    <w:rsid w:val="001670EC"/>
    <w:rsid w:val="00172108"/>
    <w:rsid w:val="001732FB"/>
    <w:rsid w:val="00180FA5"/>
    <w:rsid w:val="001813EE"/>
    <w:rsid w:val="00181529"/>
    <w:rsid w:val="0018214C"/>
    <w:rsid w:val="00184AD0"/>
    <w:rsid w:val="00190D9F"/>
    <w:rsid w:val="00190DC5"/>
    <w:rsid w:val="0019225A"/>
    <w:rsid w:val="00194777"/>
    <w:rsid w:val="00197844"/>
    <w:rsid w:val="001A1C04"/>
    <w:rsid w:val="001A2914"/>
    <w:rsid w:val="001A4DED"/>
    <w:rsid w:val="001A649B"/>
    <w:rsid w:val="001B5FEC"/>
    <w:rsid w:val="001C3E35"/>
    <w:rsid w:val="001C7472"/>
    <w:rsid w:val="001D19C5"/>
    <w:rsid w:val="001D338B"/>
    <w:rsid w:val="001D40EB"/>
    <w:rsid w:val="001D495D"/>
    <w:rsid w:val="001D5514"/>
    <w:rsid w:val="001D6BBF"/>
    <w:rsid w:val="001D70B3"/>
    <w:rsid w:val="001D71B8"/>
    <w:rsid w:val="001E1F49"/>
    <w:rsid w:val="001E4858"/>
    <w:rsid w:val="001E55F0"/>
    <w:rsid w:val="001E5C9D"/>
    <w:rsid w:val="001F54BB"/>
    <w:rsid w:val="00200B88"/>
    <w:rsid w:val="002120C5"/>
    <w:rsid w:val="00212935"/>
    <w:rsid w:val="0021682D"/>
    <w:rsid w:val="00224800"/>
    <w:rsid w:val="0023304B"/>
    <w:rsid w:val="00235496"/>
    <w:rsid w:val="00237C22"/>
    <w:rsid w:val="00237F5A"/>
    <w:rsid w:val="002422A3"/>
    <w:rsid w:val="00247A27"/>
    <w:rsid w:val="00251C13"/>
    <w:rsid w:val="002525DD"/>
    <w:rsid w:val="00264902"/>
    <w:rsid w:val="00264B7E"/>
    <w:rsid w:val="0027001A"/>
    <w:rsid w:val="00273339"/>
    <w:rsid w:val="00276A20"/>
    <w:rsid w:val="002843C3"/>
    <w:rsid w:val="0028613E"/>
    <w:rsid w:val="00294E89"/>
    <w:rsid w:val="002A60C4"/>
    <w:rsid w:val="002B6D77"/>
    <w:rsid w:val="002B7702"/>
    <w:rsid w:val="002B77F0"/>
    <w:rsid w:val="002C1B2F"/>
    <w:rsid w:val="002C40DD"/>
    <w:rsid w:val="002C79B8"/>
    <w:rsid w:val="002D40BE"/>
    <w:rsid w:val="002D4830"/>
    <w:rsid w:val="002D4D18"/>
    <w:rsid w:val="002E4DC5"/>
    <w:rsid w:val="002F01B3"/>
    <w:rsid w:val="0030207B"/>
    <w:rsid w:val="003056DC"/>
    <w:rsid w:val="003072C3"/>
    <w:rsid w:val="00311F69"/>
    <w:rsid w:val="003140DE"/>
    <w:rsid w:val="00316185"/>
    <w:rsid w:val="00317727"/>
    <w:rsid w:val="00317A9B"/>
    <w:rsid w:val="00320C8B"/>
    <w:rsid w:val="00320D32"/>
    <w:rsid w:val="00322D4A"/>
    <w:rsid w:val="00322F48"/>
    <w:rsid w:val="00323573"/>
    <w:rsid w:val="00332FD8"/>
    <w:rsid w:val="00336793"/>
    <w:rsid w:val="003369D0"/>
    <w:rsid w:val="00336D71"/>
    <w:rsid w:val="0033719F"/>
    <w:rsid w:val="003417F5"/>
    <w:rsid w:val="0035221C"/>
    <w:rsid w:val="00361B77"/>
    <w:rsid w:val="00362919"/>
    <w:rsid w:val="003645DD"/>
    <w:rsid w:val="00370EED"/>
    <w:rsid w:val="00371A1E"/>
    <w:rsid w:val="003778C1"/>
    <w:rsid w:val="003830F4"/>
    <w:rsid w:val="003830FD"/>
    <w:rsid w:val="00387326"/>
    <w:rsid w:val="00390929"/>
    <w:rsid w:val="003916FC"/>
    <w:rsid w:val="0039221F"/>
    <w:rsid w:val="00392FFA"/>
    <w:rsid w:val="00394075"/>
    <w:rsid w:val="0039588C"/>
    <w:rsid w:val="003A16B7"/>
    <w:rsid w:val="003A3198"/>
    <w:rsid w:val="003A5F89"/>
    <w:rsid w:val="003A625C"/>
    <w:rsid w:val="003B4CB2"/>
    <w:rsid w:val="003B5AD6"/>
    <w:rsid w:val="003B5E23"/>
    <w:rsid w:val="003B7858"/>
    <w:rsid w:val="003C2270"/>
    <w:rsid w:val="003C2F64"/>
    <w:rsid w:val="003C490A"/>
    <w:rsid w:val="003D5754"/>
    <w:rsid w:val="003D74D6"/>
    <w:rsid w:val="003D77ED"/>
    <w:rsid w:val="003E272F"/>
    <w:rsid w:val="003E2993"/>
    <w:rsid w:val="003E3B7F"/>
    <w:rsid w:val="003E495A"/>
    <w:rsid w:val="003E5D4F"/>
    <w:rsid w:val="003E696D"/>
    <w:rsid w:val="003E7DCD"/>
    <w:rsid w:val="003F1F9C"/>
    <w:rsid w:val="003F4D20"/>
    <w:rsid w:val="003F78D6"/>
    <w:rsid w:val="00402A07"/>
    <w:rsid w:val="0040313D"/>
    <w:rsid w:val="00405770"/>
    <w:rsid w:val="0040666D"/>
    <w:rsid w:val="00406AF4"/>
    <w:rsid w:val="00417561"/>
    <w:rsid w:val="00420F11"/>
    <w:rsid w:val="004211DA"/>
    <w:rsid w:val="004230A3"/>
    <w:rsid w:val="00426D3D"/>
    <w:rsid w:val="004329B8"/>
    <w:rsid w:val="00433FF9"/>
    <w:rsid w:val="004344BE"/>
    <w:rsid w:val="00434B2C"/>
    <w:rsid w:val="00434D89"/>
    <w:rsid w:val="00435227"/>
    <w:rsid w:val="004367CC"/>
    <w:rsid w:val="00441A4A"/>
    <w:rsid w:val="004425E7"/>
    <w:rsid w:val="00442CE7"/>
    <w:rsid w:val="004462AD"/>
    <w:rsid w:val="00447915"/>
    <w:rsid w:val="004508F3"/>
    <w:rsid w:val="00451D5E"/>
    <w:rsid w:val="0045521B"/>
    <w:rsid w:val="00460A4A"/>
    <w:rsid w:val="00462003"/>
    <w:rsid w:val="00470611"/>
    <w:rsid w:val="004776D4"/>
    <w:rsid w:val="00480A76"/>
    <w:rsid w:val="0048129E"/>
    <w:rsid w:val="004839D5"/>
    <w:rsid w:val="004901AF"/>
    <w:rsid w:val="004924A6"/>
    <w:rsid w:val="004A6794"/>
    <w:rsid w:val="004A783B"/>
    <w:rsid w:val="004B3EDD"/>
    <w:rsid w:val="004B5200"/>
    <w:rsid w:val="004B74BB"/>
    <w:rsid w:val="004C2516"/>
    <w:rsid w:val="004C33B9"/>
    <w:rsid w:val="004C6A50"/>
    <w:rsid w:val="004D0436"/>
    <w:rsid w:val="004D0C05"/>
    <w:rsid w:val="004D3B80"/>
    <w:rsid w:val="004D6DD9"/>
    <w:rsid w:val="004E280C"/>
    <w:rsid w:val="004E36AB"/>
    <w:rsid w:val="004E66FE"/>
    <w:rsid w:val="004F0EAC"/>
    <w:rsid w:val="004F1436"/>
    <w:rsid w:val="004F1928"/>
    <w:rsid w:val="004F1F54"/>
    <w:rsid w:val="004F3E97"/>
    <w:rsid w:val="004F4C7F"/>
    <w:rsid w:val="00501F75"/>
    <w:rsid w:val="005064AC"/>
    <w:rsid w:val="00510A54"/>
    <w:rsid w:val="00511B8B"/>
    <w:rsid w:val="0051235D"/>
    <w:rsid w:val="00512DBC"/>
    <w:rsid w:val="00515B8D"/>
    <w:rsid w:val="00532295"/>
    <w:rsid w:val="00536CBD"/>
    <w:rsid w:val="00541715"/>
    <w:rsid w:val="00554D99"/>
    <w:rsid w:val="00555334"/>
    <w:rsid w:val="00555A6A"/>
    <w:rsid w:val="005565B8"/>
    <w:rsid w:val="00556BA9"/>
    <w:rsid w:val="005609FD"/>
    <w:rsid w:val="00563F7A"/>
    <w:rsid w:val="005735FA"/>
    <w:rsid w:val="00577925"/>
    <w:rsid w:val="00582D63"/>
    <w:rsid w:val="00585640"/>
    <w:rsid w:val="0058710D"/>
    <w:rsid w:val="00591E04"/>
    <w:rsid w:val="00593759"/>
    <w:rsid w:val="00594988"/>
    <w:rsid w:val="00595837"/>
    <w:rsid w:val="005A6B23"/>
    <w:rsid w:val="005B070E"/>
    <w:rsid w:val="005B45D3"/>
    <w:rsid w:val="005B4992"/>
    <w:rsid w:val="005D0C26"/>
    <w:rsid w:val="005D40C4"/>
    <w:rsid w:val="005D56D6"/>
    <w:rsid w:val="005D64D7"/>
    <w:rsid w:val="005D6844"/>
    <w:rsid w:val="005E60A7"/>
    <w:rsid w:val="005E6896"/>
    <w:rsid w:val="005F14EA"/>
    <w:rsid w:val="00600220"/>
    <w:rsid w:val="006013C8"/>
    <w:rsid w:val="006013CB"/>
    <w:rsid w:val="00604607"/>
    <w:rsid w:val="00614BAB"/>
    <w:rsid w:val="006222A1"/>
    <w:rsid w:val="0062695A"/>
    <w:rsid w:val="00627A68"/>
    <w:rsid w:val="00632D37"/>
    <w:rsid w:val="006375AE"/>
    <w:rsid w:val="0064696B"/>
    <w:rsid w:val="0065138B"/>
    <w:rsid w:val="006538B9"/>
    <w:rsid w:val="00657743"/>
    <w:rsid w:val="00657A2E"/>
    <w:rsid w:val="006627B2"/>
    <w:rsid w:val="00667EF3"/>
    <w:rsid w:val="00670C1B"/>
    <w:rsid w:val="00671B3F"/>
    <w:rsid w:val="00677273"/>
    <w:rsid w:val="00680665"/>
    <w:rsid w:val="006A39D6"/>
    <w:rsid w:val="006A7F70"/>
    <w:rsid w:val="006B1AFA"/>
    <w:rsid w:val="006B4401"/>
    <w:rsid w:val="006C131F"/>
    <w:rsid w:val="006C49C2"/>
    <w:rsid w:val="006C4A4E"/>
    <w:rsid w:val="006C637A"/>
    <w:rsid w:val="006D2C69"/>
    <w:rsid w:val="006D40C4"/>
    <w:rsid w:val="006D75F0"/>
    <w:rsid w:val="006D77D5"/>
    <w:rsid w:val="006D7B59"/>
    <w:rsid w:val="006E2913"/>
    <w:rsid w:val="006E35A0"/>
    <w:rsid w:val="006F0BB6"/>
    <w:rsid w:val="006F45C6"/>
    <w:rsid w:val="00700894"/>
    <w:rsid w:val="0070217D"/>
    <w:rsid w:val="00704CF3"/>
    <w:rsid w:val="007058AB"/>
    <w:rsid w:val="00706A94"/>
    <w:rsid w:val="00710464"/>
    <w:rsid w:val="0071054F"/>
    <w:rsid w:val="00711263"/>
    <w:rsid w:val="00714634"/>
    <w:rsid w:val="00716BA1"/>
    <w:rsid w:val="00717A6A"/>
    <w:rsid w:val="00721466"/>
    <w:rsid w:val="00721666"/>
    <w:rsid w:val="007221E5"/>
    <w:rsid w:val="00722485"/>
    <w:rsid w:val="0072542E"/>
    <w:rsid w:val="007263DF"/>
    <w:rsid w:val="00733733"/>
    <w:rsid w:val="00734294"/>
    <w:rsid w:val="00744B09"/>
    <w:rsid w:val="0075161A"/>
    <w:rsid w:val="00752B2F"/>
    <w:rsid w:val="00756784"/>
    <w:rsid w:val="00757B4E"/>
    <w:rsid w:val="007616AD"/>
    <w:rsid w:val="00762D8A"/>
    <w:rsid w:val="0076377A"/>
    <w:rsid w:val="007704D6"/>
    <w:rsid w:val="00774688"/>
    <w:rsid w:val="00776104"/>
    <w:rsid w:val="007762B1"/>
    <w:rsid w:val="007843DB"/>
    <w:rsid w:val="0078591A"/>
    <w:rsid w:val="00786665"/>
    <w:rsid w:val="00786BD9"/>
    <w:rsid w:val="00787AE2"/>
    <w:rsid w:val="00787B6D"/>
    <w:rsid w:val="00790A4B"/>
    <w:rsid w:val="0079141C"/>
    <w:rsid w:val="00793E06"/>
    <w:rsid w:val="00795C68"/>
    <w:rsid w:val="00796AD6"/>
    <w:rsid w:val="007C070D"/>
    <w:rsid w:val="007C4566"/>
    <w:rsid w:val="007C489B"/>
    <w:rsid w:val="007C4D1C"/>
    <w:rsid w:val="007C6A7E"/>
    <w:rsid w:val="007C71DA"/>
    <w:rsid w:val="007D3D43"/>
    <w:rsid w:val="007D4043"/>
    <w:rsid w:val="007D572D"/>
    <w:rsid w:val="007E307A"/>
    <w:rsid w:val="007E539F"/>
    <w:rsid w:val="007F0519"/>
    <w:rsid w:val="007F1D25"/>
    <w:rsid w:val="007F1EC4"/>
    <w:rsid w:val="007F5A67"/>
    <w:rsid w:val="008108E1"/>
    <w:rsid w:val="00811D35"/>
    <w:rsid w:val="00812718"/>
    <w:rsid w:val="00812EE2"/>
    <w:rsid w:val="00817BE2"/>
    <w:rsid w:val="00817BEF"/>
    <w:rsid w:val="00822F09"/>
    <w:rsid w:val="00823026"/>
    <w:rsid w:val="00834844"/>
    <w:rsid w:val="008402B5"/>
    <w:rsid w:val="00841D47"/>
    <w:rsid w:val="00847D86"/>
    <w:rsid w:val="0085032A"/>
    <w:rsid w:val="0085094E"/>
    <w:rsid w:val="008521DB"/>
    <w:rsid w:val="00853242"/>
    <w:rsid w:val="0086106D"/>
    <w:rsid w:val="00865590"/>
    <w:rsid w:val="00866D6A"/>
    <w:rsid w:val="0086711A"/>
    <w:rsid w:val="00867FA1"/>
    <w:rsid w:val="00871F6B"/>
    <w:rsid w:val="008733E4"/>
    <w:rsid w:val="00876125"/>
    <w:rsid w:val="00876384"/>
    <w:rsid w:val="00877192"/>
    <w:rsid w:val="0088060C"/>
    <w:rsid w:val="00881EBA"/>
    <w:rsid w:val="008874AA"/>
    <w:rsid w:val="008928DD"/>
    <w:rsid w:val="0089335A"/>
    <w:rsid w:val="00895011"/>
    <w:rsid w:val="008A1C77"/>
    <w:rsid w:val="008A2C4E"/>
    <w:rsid w:val="008A6A65"/>
    <w:rsid w:val="008B2C99"/>
    <w:rsid w:val="008B34E9"/>
    <w:rsid w:val="008B5DB1"/>
    <w:rsid w:val="008C1ADB"/>
    <w:rsid w:val="008D1048"/>
    <w:rsid w:val="008D6F78"/>
    <w:rsid w:val="008D71CA"/>
    <w:rsid w:val="008E2978"/>
    <w:rsid w:val="008E43FD"/>
    <w:rsid w:val="008E5AE1"/>
    <w:rsid w:val="008E6AA3"/>
    <w:rsid w:val="008F1CF4"/>
    <w:rsid w:val="00900B04"/>
    <w:rsid w:val="00901841"/>
    <w:rsid w:val="009032F5"/>
    <w:rsid w:val="00905B3F"/>
    <w:rsid w:val="009060DE"/>
    <w:rsid w:val="00912B53"/>
    <w:rsid w:val="009131CD"/>
    <w:rsid w:val="009156E4"/>
    <w:rsid w:val="009161FC"/>
    <w:rsid w:val="00924616"/>
    <w:rsid w:val="00926EBA"/>
    <w:rsid w:val="009279E5"/>
    <w:rsid w:val="009325B6"/>
    <w:rsid w:val="0093320A"/>
    <w:rsid w:val="00934D21"/>
    <w:rsid w:val="009370CD"/>
    <w:rsid w:val="00942669"/>
    <w:rsid w:val="00944708"/>
    <w:rsid w:val="0095030B"/>
    <w:rsid w:val="0095094D"/>
    <w:rsid w:val="009532B3"/>
    <w:rsid w:val="009551A3"/>
    <w:rsid w:val="009557A9"/>
    <w:rsid w:val="00957108"/>
    <w:rsid w:val="00962D1E"/>
    <w:rsid w:val="00967726"/>
    <w:rsid w:val="00973A98"/>
    <w:rsid w:val="009767AA"/>
    <w:rsid w:val="00976E68"/>
    <w:rsid w:val="00983D55"/>
    <w:rsid w:val="0099063F"/>
    <w:rsid w:val="00995FBB"/>
    <w:rsid w:val="009A3ED4"/>
    <w:rsid w:val="009A427D"/>
    <w:rsid w:val="009A46DD"/>
    <w:rsid w:val="009A4E1B"/>
    <w:rsid w:val="009A621C"/>
    <w:rsid w:val="009A7F61"/>
    <w:rsid w:val="009B1839"/>
    <w:rsid w:val="009B2B1A"/>
    <w:rsid w:val="009B5372"/>
    <w:rsid w:val="009B53FA"/>
    <w:rsid w:val="009B5647"/>
    <w:rsid w:val="009B5D40"/>
    <w:rsid w:val="009B7ED9"/>
    <w:rsid w:val="009C362B"/>
    <w:rsid w:val="009C3CD4"/>
    <w:rsid w:val="009C44E1"/>
    <w:rsid w:val="009C7C2F"/>
    <w:rsid w:val="009D01CF"/>
    <w:rsid w:val="009D337C"/>
    <w:rsid w:val="009D6DB9"/>
    <w:rsid w:val="009D781F"/>
    <w:rsid w:val="009D78BD"/>
    <w:rsid w:val="009E19AE"/>
    <w:rsid w:val="009E2E35"/>
    <w:rsid w:val="009E44FE"/>
    <w:rsid w:val="009E53FC"/>
    <w:rsid w:val="009F07A8"/>
    <w:rsid w:val="009F74D1"/>
    <w:rsid w:val="00A01E0F"/>
    <w:rsid w:val="00A022D4"/>
    <w:rsid w:val="00A0363B"/>
    <w:rsid w:val="00A04542"/>
    <w:rsid w:val="00A0458A"/>
    <w:rsid w:val="00A13A5B"/>
    <w:rsid w:val="00A154F6"/>
    <w:rsid w:val="00A17487"/>
    <w:rsid w:val="00A25BEF"/>
    <w:rsid w:val="00A32688"/>
    <w:rsid w:val="00A34AD3"/>
    <w:rsid w:val="00A34E36"/>
    <w:rsid w:val="00A36658"/>
    <w:rsid w:val="00A42D93"/>
    <w:rsid w:val="00A45103"/>
    <w:rsid w:val="00A455E0"/>
    <w:rsid w:val="00A47E70"/>
    <w:rsid w:val="00A51602"/>
    <w:rsid w:val="00A56C87"/>
    <w:rsid w:val="00A601F0"/>
    <w:rsid w:val="00A62FA3"/>
    <w:rsid w:val="00A67C95"/>
    <w:rsid w:val="00A701D1"/>
    <w:rsid w:val="00A7477E"/>
    <w:rsid w:val="00A74A58"/>
    <w:rsid w:val="00A82824"/>
    <w:rsid w:val="00A95AE3"/>
    <w:rsid w:val="00A96112"/>
    <w:rsid w:val="00A97617"/>
    <w:rsid w:val="00AA477A"/>
    <w:rsid w:val="00AA5384"/>
    <w:rsid w:val="00AA6457"/>
    <w:rsid w:val="00AB24B9"/>
    <w:rsid w:val="00AB24C4"/>
    <w:rsid w:val="00AB2F79"/>
    <w:rsid w:val="00AB3384"/>
    <w:rsid w:val="00AC59BC"/>
    <w:rsid w:val="00AC7949"/>
    <w:rsid w:val="00AD17E7"/>
    <w:rsid w:val="00AD44A2"/>
    <w:rsid w:val="00AD4A5A"/>
    <w:rsid w:val="00AD557A"/>
    <w:rsid w:val="00AD73AA"/>
    <w:rsid w:val="00AE1A7A"/>
    <w:rsid w:val="00AE1C0B"/>
    <w:rsid w:val="00AE1E89"/>
    <w:rsid w:val="00AF3F29"/>
    <w:rsid w:val="00AF6EFA"/>
    <w:rsid w:val="00B070CE"/>
    <w:rsid w:val="00B14653"/>
    <w:rsid w:val="00B14D12"/>
    <w:rsid w:val="00B2267B"/>
    <w:rsid w:val="00B23672"/>
    <w:rsid w:val="00B256C3"/>
    <w:rsid w:val="00B25D6D"/>
    <w:rsid w:val="00B27957"/>
    <w:rsid w:val="00B313AD"/>
    <w:rsid w:val="00B33847"/>
    <w:rsid w:val="00B3424B"/>
    <w:rsid w:val="00B34C52"/>
    <w:rsid w:val="00B40985"/>
    <w:rsid w:val="00B40EC7"/>
    <w:rsid w:val="00B43452"/>
    <w:rsid w:val="00B46C2D"/>
    <w:rsid w:val="00B505A8"/>
    <w:rsid w:val="00B553AF"/>
    <w:rsid w:val="00B56F4A"/>
    <w:rsid w:val="00B61B69"/>
    <w:rsid w:val="00B61E32"/>
    <w:rsid w:val="00B65A2D"/>
    <w:rsid w:val="00B66FBD"/>
    <w:rsid w:val="00B672E5"/>
    <w:rsid w:val="00B706E4"/>
    <w:rsid w:val="00B75E97"/>
    <w:rsid w:val="00B81415"/>
    <w:rsid w:val="00B91A0E"/>
    <w:rsid w:val="00B94D0F"/>
    <w:rsid w:val="00BA01B4"/>
    <w:rsid w:val="00BA0727"/>
    <w:rsid w:val="00BA1493"/>
    <w:rsid w:val="00BA1F0E"/>
    <w:rsid w:val="00BA2898"/>
    <w:rsid w:val="00BA449B"/>
    <w:rsid w:val="00BA58C0"/>
    <w:rsid w:val="00BA6FFF"/>
    <w:rsid w:val="00BB5944"/>
    <w:rsid w:val="00BB5C2F"/>
    <w:rsid w:val="00BC2351"/>
    <w:rsid w:val="00BC3539"/>
    <w:rsid w:val="00BC5FC7"/>
    <w:rsid w:val="00BC6C3F"/>
    <w:rsid w:val="00BD2E06"/>
    <w:rsid w:val="00BD4945"/>
    <w:rsid w:val="00BD595C"/>
    <w:rsid w:val="00BD60C6"/>
    <w:rsid w:val="00BD680F"/>
    <w:rsid w:val="00BD70A4"/>
    <w:rsid w:val="00BE45D5"/>
    <w:rsid w:val="00BE5A3D"/>
    <w:rsid w:val="00BF36FE"/>
    <w:rsid w:val="00BF4B18"/>
    <w:rsid w:val="00BF64A7"/>
    <w:rsid w:val="00C005F9"/>
    <w:rsid w:val="00C03043"/>
    <w:rsid w:val="00C037BA"/>
    <w:rsid w:val="00C07FE8"/>
    <w:rsid w:val="00C119B3"/>
    <w:rsid w:val="00C11ACB"/>
    <w:rsid w:val="00C12083"/>
    <w:rsid w:val="00C1597A"/>
    <w:rsid w:val="00C159A6"/>
    <w:rsid w:val="00C17FD4"/>
    <w:rsid w:val="00C20493"/>
    <w:rsid w:val="00C20EBE"/>
    <w:rsid w:val="00C25DE4"/>
    <w:rsid w:val="00C32231"/>
    <w:rsid w:val="00C326C3"/>
    <w:rsid w:val="00C33074"/>
    <w:rsid w:val="00C37591"/>
    <w:rsid w:val="00C4595C"/>
    <w:rsid w:val="00C521B5"/>
    <w:rsid w:val="00C526B1"/>
    <w:rsid w:val="00C612D4"/>
    <w:rsid w:val="00C62634"/>
    <w:rsid w:val="00C65DC2"/>
    <w:rsid w:val="00C67034"/>
    <w:rsid w:val="00C7226F"/>
    <w:rsid w:val="00C726F9"/>
    <w:rsid w:val="00C76513"/>
    <w:rsid w:val="00C76A1C"/>
    <w:rsid w:val="00C8434B"/>
    <w:rsid w:val="00C906A8"/>
    <w:rsid w:val="00C92FEA"/>
    <w:rsid w:val="00C9358F"/>
    <w:rsid w:val="00C93CB7"/>
    <w:rsid w:val="00C93E62"/>
    <w:rsid w:val="00C941B7"/>
    <w:rsid w:val="00CA0BDE"/>
    <w:rsid w:val="00CA2A5F"/>
    <w:rsid w:val="00CB08E0"/>
    <w:rsid w:val="00CB13FB"/>
    <w:rsid w:val="00CB4E3A"/>
    <w:rsid w:val="00CB58B6"/>
    <w:rsid w:val="00CB6801"/>
    <w:rsid w:val="00CC790F"/>
    <w:rsid w:val="00CD2CAD"/>
    <w:rsid w:val="00CD679B"/>
    <w:rsid w:val="00CD70AE"/>
    <w:rsid w:val="00CD7F45"/>
    <w:rsid w:val="00CE0042"/>
    <w:rsid w:val="00CE455C"/>
    <w:rsid w:val="00CE75E4"/>
    <w:rsid w:val="00CF0ECA"/>
    <w:rsid w:val="00CF167E"/>
    <w:rsid w:val="00D065E0"/>
    <w:rsid w:val="00D06BDC"/>
    <w:rsid w:val="00D07CE1"/>
    <w:rsid w:val="00D12407"/>
    <w:rsid w:val="00D124EF"/>
    <w:rsid w:val="00D16778"/>
    <w:rsid w:val="00D16829"/>
    <w:rsid w:val="00D177C6"/>
    <w:rsid w:val="00D17BAB"/>
    <w:rsid w:val="00D2217C"/>
    <w:rsid w:val="00D24760"/>
    <w:rsid w:val="00D24A9F"/>
    <w:rsid w:val="00D277E2"/>
    <w:rsid w:val="00D27909"/>
    <w:rsid w:val="00D3035B"/>
    <w:rsid w:val="00D31652"/>
    <w:rsid w:val="00D31D46"/>
    <w:rsid w:val="00D352F4"/>
    <w:rsid w:val="00D35E43"/>
    <w:rsid w:val="00D37302"/>
    <w:rsid w:val="00D375E2"/>
    <w:rsid w:val="00D37898"/>
    <w:rsid w:val="00D402BD"/>
    <w:rsid w:val="00D40311"/>
    <w:rsid w:val="00D4760B"/>
    <w:rsid w:val="00D519FB"/>
    <w:rsid w:val="00D5530F"/>
    <w:rsid w:val="00D555DD"/>
    <w:rsid w:val="00D55DCC"/>
    <w:rsid w:val="00D603A3"/>
    <w:rsid w:val="00D6367B"/>
    <w:rsid w:val="00D70737"/>
    <w:rsid w:val="00D71684"/>
    <w:rsid w:val="00D733B7"/>
    <w:rsid w:val="00D740C3"/>
    <w:rsid w:val="00D81436"/>
    <w:rsid w:val="00D84869"/>
    <w:rsid w:val="00D877BB"/>
    <w:rsid w:val="00D92A95"/>
    <w:rsid w:val="00D93A8E"/>
    <w:rsid w:val="00D94860"/>
    <w:rsid w:val="00D94D84"/>
    <w:rsid w:val="00D95126"/>
    <w:rsid w:val="00DA06FA"/>
    <w:rsid w:val="00DA3C20"/>
    <w:rsid w:val="00DA7314"/>
    <w:rsid w:val="00DB04CB"/>
    <w:rsid w:val="00DB40ED"/>
    <w:rsid w:val="00DB462B"/>
    <w:rsid w:val="00DB49DE"/>
    <w:rsid w:val="00DB4CBE"/>
    <w:rsid w:val="00DC1C13"/>
    <w:rsid w:val="00DC6F42"/>
    <w:rsid w:val="00DC7186"/>
    <w:rsid w:val="00DD0B1F"/>
    <w:rsid w:val="00DD1391"/>
    <w:rsid w:val="00DD1E6E"/>
    <w:rsid w:val="00DD206A"/>
    <w:rsid w:val="00DD65F2"/>
    <w:rsid w:val="00DD7D15"/>
    <w:rsid w:val="00DE3AC5"/>
    <w:rsid w:val="00DE4A3E"/>
    <w:rsid w:val="00DE5F8C"/>
    <w:rsid w:val="00DF081C"/>
    <w:rsid w:val="00DF617C"/>
    <w:rsid w:val="00DF6A51"/>
    <w:rsid w:val="00DF727C"/>
    <w:rsid w:val="00E02D9F"/>
    <w:rsid w:val="00E0442A"/>
    <w:rsid w:val="00E04CC2"/>
    <w:rsid w:val="00E20BAE"/>
    <w:rsid w:val="00E232B4"/>
    <w:rsid w:val="00E26EEF"/>
    <w:rsid w:val="00E27771"/>
    <w:rsid w:val="00E312B5"/>
    <w:rsid w:val="00E4077E"/>
    <w:rsid w:val="00E4282C"/>
    <w:rsid w:val="00E47058"/>
    <w:rsid w:val="00E51992"/>
    <w:rsid w:val="00E52884"/>
    <w:rsid w:val="00E54971"/>
    <w:rsid w:val="00E56D84"/>
    <w:rsid w:val="00E572DF"/>
    <w:rsid w:val="00E617D2"/>
    <w:rsid w:val="00E62C89"/>
    <w:rsid w:val="00E737CA"/>
    <w:rsid w:val="00E77F03"/>
    <w:rsid w:val="00E81982"/>
    <w:rsid w:val="00E85DB1"/>
    <w:rsid w:val="00E9073B"/>
    <w:rsid w:val="00E941F5"/>
    <w:rsid w:val="00E95059"/>
    <w:rsid w:val="00EA2F6A"/>
    <w:rsid w:val="00EA36B3"/>
    <w:rsid w:val="00EA5E27"/>
    <w:rsid w:val="00EA74B1"/>
    <w:rsid w:val="00EB2B6B"/>
    <w:rsid w:val="00EC0182"/>
    <w:rsid w:val="00EC2FB0"/>
    <w:rsid w:val="00EC3B6A"/>
    <w:rsid w:val="00EC4F49"/>
    <w:rsid w:val="00ED5594"/>
    <w:rsid w:val="00EE51A8"/>
    <w:rsid w:val="00EE5485"/>
    <w:rsid w:val="00EE6615"/>
    <w:rsid w:val="00EF0089"/>
    <w:rsid w:val="00EF0DB0"/>
    <w:rsid w:val="00EF150A"/>
    <w:rsid w:val="00EF1D6E"/>
    <w:rsid w:val="00EF2473"/>
    <w:rsid w:val="00F002D0"/>
    <w:rsid w:val="00F024DC"/>
    <w:rsid w:val="00F0287E"/>
    <w:rsid w:val="00F028AA"/>
    <w:rsid w:val="00F07409"/>
    <w:rsid w:val="00F10BF2"/>
    <w:rsid w:val="00F112C7"/>
    <w:rsid w:val="00F11662"/>
    <w:rsid w:val="00F16D87"/>
    <w:rsid w:val="00F17E37"/>
    <w:rsid w:val="00F22356"/>
    <w:rsid w:val="00F263A7"/>
    <w:rsid w:val="00F2781C"/>
    <w:rsid w:val="00F30989"/>
    <w:rsid w:val="00F31A81"/>
    <w:rsid w:val="00F32229"/>
    <w:rsid w:val="00F32DBA"/>
    <w:rsid w:val="00F35DF8"/>
    <w:rsid w:val="00F3711A"/>
    <w:rsid w:val="00F37D0F"/>
    <w:rsid w:val="00F40CA0"/>
    <w:rsid w:val="00F422D8"/>
    <w:rsid w:val="00F43047"/>
    <w:rsid w:val="00F463D1"/>
    <w:rsid w:val="00F4670F"/>
    <w:rsid w:val="00F469E0"/>
    <w:rsid w:val="00F51E12"/>
    <w:rsid w:val="00F53739"/>
    <w:rsid w:val="00F554E7"/>
    <w:rsid w:val="00F6227C"/>
    <w:rsid w:val="00F64323"/>
    <w:rsid w:val="00F64F06"/>
    <w:rsid w:val="00F67158"/>
    <w:rsid w:val="00F71705"/>
    <w:rsid w:val="00F7508A"/>
    <w:rsid w:val="00F75656"/>
    <w:rsid w:val="00F96B75"/>
    <w:rsid w:val="00FA337D"/>
    <w:rsid w:val="00FA4AD5"/>
    <w:rsid w:val="00FA7BB8"/>
    <w:rsid w:val="00FB0009"/>
    <w:rsid w:val="00FB12D3"/>
    <w:rsid w:val="00FB2DC7"/>
    <w:rsid w:val="00FB6A94"/>
    <w:rsid w:val="00FC2C18"/>
    <w:rsid w:val="00FC64E7"/>
    <w:rsid w:val="00FD0299"/>
    <w:rsid w:val="00FD2AFC"/>
    <w:rsid w:val="00FD5230"/>
    <w:rsid w:val="00FD7E2E"/>
    <w:rsid w:val="00FE240D"/>
    <w:rsid w:val="00FE4CBD"/>
    <w:rsid w:val="00FE5B5C"/>
    <w:rsid w:val="00FE5D6F"/>
    <w:rsid w:val="00FF3130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81375B-F3E7-4372-99FE-A66E4E0D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20F11"/>
    <w:pPr>
      <w:tabs>
        <w:tab w:val="left" w:pos="880"/>
        <w:tab w:val="right" w:leader="dot" w:pos="9395"/>
      </w:tabs>
      <w:spacing w:after="0"/>
      <w:ind w:left="221"/>
      <w:contextualSpacing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756D"/>
    <w:rsid w:val="00052B58"/>
    <w:rsid w:val="00095192"/>
    <w:rsid w:val="000B7AC9"/>
    <w:rsid w:val="00176B87"/>
    <w:rsid w:val="00187923"/>
    <w:rsid w:val="001962DB"/>
    <w:rsid w:val="001B2674"/>
    <w:rsid w:val="001C7B8B"/>
    <w:rsid w:val="002322A1"/>
    <w:rsid w:val="002424A3"/>
    <w:rsid w:val="00272E9B"/>
    <w:rsid w:val="002B4D76"/>
    <w:rsid w:val="002B701A"/>
    <w:rsid w:val="002C2043"/>
    <w:rsid w:val="003A18A8"/>
    <w:rsid w:val="003B48BA"/>
    <w:rsid w:val="004219A1"/>
    <w:rsid w:val="00447DBB"/>
    <w:rsid w:val="004502E9"/>
    <w:rsid w:val="004C54F5"/>
    <w:rsid w:val="004F02EF"/>
    <w:rsid w:val="004F2EA1"/>
    <w:rsid w:val="00720F81"/>
    <w:rsid w:val="0074067F"/>
    <w:rsid w:val="00757BB2"/>
    <w:rsid w:val="007C4CD4"/>
    <w:rsid w:val="007E7D02"/>
    <w:rsid w:val="0081508D"/>
    <w:rsid w:val="00817811"/>
    <w:rsid w:val="00833B95"/>
    <w:rsid w:val="008828CD"/>
    <w:rsid w:val="008A3F0D"/>
    <w:rsid w:val="008B63B6"/>
    <w:rsid w:val="008E4526"/>
    <w:rsid w:val="00971971"/>
    <w:rsid w:val="00974A38"/>
    <w:rsid w:val="009B1500"/>
    <w:rsid w:val="009B2782"/>
    <w:rsid w:val="009B7A59"/>
    <w:rsid w:val="009D2163"/>
    <w:rsid w:val="00A5382F"/>
    <w:rsid w:val="00A76647"/>
    <w:rsid w:val="00A77688"/>
    <w:rsid w:val="00B05C63"/>
    <w:rsid w:val="00B11613"/>
    <w:rsid w:val="00B55909"/>
    <w:rsid w:val="00BC6472"/>
    <w:rsid w:val="00BF2C74"/>
    <w:rsid w:val="00C706E2"/>
    <w:rsid w:val="00CE6581"/>
    <w:rsid w:val="00D03F52"/>
    <w:rsid w:val="00DA0C6E"/>
    <w:rsid w:val="00DE52E5"/>
    <w:rsid w:val="00DF0B3C"/>
    <w:rsid w:val="00E00A01"/>
    <w:rsid w:val="00E104C5"/>
    <w:rsid w:val="00E77F8D"/>
    <w:rsid w:val="00F21901"/>
    <w:rsid w:val="00F33EF5"/>
    <w:rsid w:val="00F43EC6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B7C1E85A494C10846EB7209BB27D39">
    <w:name w:val="54B7C1E85A494C10846EB7209BB27D39"/>
    <w:rsid w:val="00FF756D"/>
  </w:style>
  <w:style w:type="paragraph" w:customStyle="1" w:styleId="B0370EC93F1F4322994DB1FF18B648D5">
    <w:name w:val="B0370EC93F1F4322994DB1FF18B648D5"/>
    <w:rsid w:val="00A77688"/>
  </w:style>
  <w:style w:type="paragraph" w:customStyle="1" w:styleId="40146962572946DB85D4A0ABC75CA244">
    <w:name w:val="40146962572946DB85D4A0ABC75CA244"/>
    <w:rsid w:val="00A77688"/>
  </w:style>
  <w:style w:type="paragraph" w:customStyle="1" w:styleId="10801DE90DF5486384F8307DFE9CD378">
    <w:name w:val="10801DE90DF5486384F8307DFE9CD378"/>
    <w:rsid w:val="00A77688"/>
  </w:style>
  <w:style w:type="paragraph" w:customStyle="1" w:styleId="08D31DDAF4C34EC39C0CAEFA1464419C">
    <w:name w:val="08D31DDAF4C34EC39C0CAEFA1464419C"/>
    <w:rsid w:val="00A77688"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6E48-8650-48D0-B8E9-2CDE25CC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11611</Words>
  <Characters>66186</Characters>
  <Application>Microsoft Office Word</Application>
  <DocSecurity>0</DocSecurity>
  <Lines>551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01.01.2017-31.12.2017.g.</vt:lpstr>
    </vt:vector>
  </TitlesOfParts>
  <Company/>
  <LinksUpToDate>false</LinksUpToDate>
  <CharactersWithSpaces>77642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01.01.2017-31.12.2017.g.</dc:title>
  <dc:subject/>
  <dc:creator>x</dc:creator>
  <cp:keywords/>
  <dc:description/>
  <cp:lastModifiedBy>bato tomic</cp:lastModifiedBy>
  <cp:revision>3</cp:revision>
  <cp:lastPrinted>2018-02-23T15:06:00Z</cp:lastPrinted>
  <dcterms:created xsi:type="dcterms:W3CDTF">2019-08-02T14:55:00Z</dcterms:created>
  <dcterms:modified xsi:type="dcterms:W3CDTF">2019-08-02T14:55:00Z</dcterms:modified>
</cp:coreProperties>
</file>