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4" w:rsidRPr="00726E17" w:rsidRDefault="00726E17" w:rsidP="00726E17">
      <w:pPr>
        <w:pStyle w:val="NoSpacing"/>
        <w:rPr>
          <w:rFonts w:asciiTheme="majorHAnsi" w:hAnsiTheme="majorHAnsi"/>
          <w:b/>
          <w:sz w:val="20"/>
          <w:szCs w:val="20"/>
          <w:lang w:val="sr-Latn-CS"/>
        </w:rPr>
      </w:pPr>
      <w:r w:rsidRPr="00726E17">
        <w:rPr>
          <w:rFonts w:asciiTheme="majorHAnsi" w:hAnsiTheme="majorHAnsi"/>
          <w:b/>
          <w:sz w:val="20"/>
          <w:szCs w:val="20"/>
          <w:lang w:val="sr-Latn-CS"/>
        </w:rPr>
        <w:t>NEŠKOVIĆ OSIGURANJE AD</w:t>
      </w:r>
    </w:p>
    <w:p w:rsidR="00726E17" w:rsidRPr="00726E17" w:rsidRDefault="00726E17" w:rsidP="00726E17">
      <w:pPr>
        <w:pStyle w:val="NoSpacing"/>
        <w:rPr>
          <w:rFonts w:asciiTheme="majorHAnsi" w:hAnsiTheme="majorHAnsi"/>
          <w:b/>
          <w:sz w:val="20"/>
          <w:szCs w:val="20"/>
          <w:lang w:val="sr-Latn-CS"/>
        </w:rPr>
      </w:pPr>
      <w:r w:rsidRPr="00726E17">
        <w:rPr>
          <w:rFonts w:asciiTheme="majorHAnsi" w:hAnsiTheme="majorHAnsi"/>
          <w:b/>
          <w:sz w:val="20"/>
          <w:szCs w:val="20"/>
          <w:lang w:val="sr-Latn-CS"/>
        </w:rPr>
        <w:t>BIJELJINA</w:t>
      </w:r>
    </w:p>
    <w:p w:rsidR="00726E17" w:rsidRPr="00726E17" w:rsidRDefault="00726E17">
      <w:pPr>
        <w:rPr>
          <w:rFonts w:asciiTheme="majorHAnsi" w:hAnsiTheme="majorHAnsi"/>
          <w:b/>
          <w:sz w:val="20"/>
          <w:szCs w:val="20"/>
          <w:lang w:val="sr-Latn-CS"/>
        </w:rPr>
      </w:pPr>
      <w:r w:rsidRPr="00726E17">
        <w:rPr>
          <w:rFonts w:asciiTheme="majorHAnsi" w:hAnsiTheme="majorHAnsi"/>
          <w:b/>
          <w:sz w:val="20"/>
          <w:szCs w:val="20"/>
          <w:lang w:val="sr-Latn-CS"/>
        </w:rPr>
        <w:t>Sremska 3</w:t>
      </w:r>
    </w:p>
    <w:p w:rsidR="00726E17" w:rsidRDefault="00726E17">
      <w:pPr>
        <w:rPr>
          <w:rFonts w:asciiTheme="majorHAnsi" w:hAnsiTheme="majorHAnsi"/>
          <w:b/>
          <w:sz w:val="20"/>
          <w:szCs w:val="20"/>
          <w:lang w:val="sr-Latn-CS"/>
        </w:rPr>
      </w:pPr>
      <w:r w:rsidRPr="00726E17">
        <w:rPr>
          <w:rFonts w:asciiTheme="majorHAnsi" w:hAnsiTheme="majorHAnsi"/>
          <w:b/>
          <w:sz w:val="20"/>
          <w:szCs w:val="20"/>
          <w:lang w:val="sr-Latn-CS"/>
        </w:rPr>
        <w:t>JIB 4400330410003</w:t>
      </w:r>
    </w:p>
    <w:p w:rsidR="00726E17" w:rsidRDefault="00726E17">
      <w:pPr>
        <w:rPr>
          <w:rFonts w:asciiTheme="majorHAnsi" w:hAnsiTheme="majorHAnsi"/>
          <w:b/>
          <w:sz w:val="20"/>
          <w:szCs w:val="20"/>
          <w:lang w:val="sr-Latn-CS"/>
        </w:rPr>
      </w:pPr>
    </w:p>
    <w:p w:rsidR="00726E17" w:rsidRDefault="00726E17" w:rsidP="00F7134F">
      <w:pPr>
        <w:jc w:val="both"/>
        <w:rPr>
          <w:rFonts w:asciiTheme="majorHAnsi" w:hAnsiTheme="majorHAnsi"/>
          <w:lang w:val="sr-Latn-CS"/>
        </w:rPr>
      </w:pPr>
      <w:r w:rsidRPr="00455101">
        <w:rPr>
          <w:rFonts w:asciiTheme="majorHAnsi" w:hAnsiTheme="majorHAnsi"/>
          <w:lang w:val="sr-Latn-CS"/>
        </w:rPr>
        <w:t xml:space="preserve">  </w:t>
      </w:r>
      <w:r w:rsidR="00455101">
        <w:rPr>
          <w:rFonts w:asciiTheme="majorHAnsi" w:hAnsiTheme="majorHAnsi"/>
          <w:lang w:val="sr-Latn-CS"/>
        </w:rPr>
        <w:t xml:space="preserve">      </w:t>
      </w:r>
      <w:r w:rsidRPr="00455101">
        <w:rPr>
          <w:rFonts w:asciiTheme="majorHAnsi" w:hAnsiTheme="majorHAnsi"/>
          <w:lang w:val="sr-Latn-CS"/>
        </w:rPr>
        <w:t xml:space="preserve"> Pravno lice </w:t>
      </w:r>
      <w:r w:rsidR="006D0C87">
        <w:rPr>
          <w:rFonts w:ascii="Arial" w:hAnsi="Arial" w:cs="Arial"/>
          <w:lang w:val="sr-Latn-CS"/>
        </w:rPr>
        <w:t>"</w:t>
      </w:r>
      <w:r w:rsidRPr="00455101">
        <w:rPr>
          <w:rFonts w:asciiTheme="majorHAnsi" w:hAnsiTheme="majorHAnsi"/>
          <w:lang w:val="sr-Latn-CS"/>
        </w:rPr>
        <w:t>Neškovć os</w:t>
      </w:r>
      <w:r w:rsidR="00455101">
        <w:rPr>
          <w:rFonts w:asciiTheme="majorHAnsi" w:hAnsiTheme="majorHAnsi"/>
          <w:lang w:val="sr-Latn-CS"/>
        </w:rPr>
        <w:t>iguranje</w:t>
      </w:r>
      <w:r w:rsidR="006D0C87">
        <w:rPr>
          <w:rFonts w:ascii="Arial" w:hAnsi="Arial" w:cs="Arial"/>
          <w:lang w:val="sr-Latn-CS"/>
        </w:rPr>
        <w:t>"</w:t>
      </w:r>
      <w:r w:rsidR="00455101">
        <w:rPr>
          <w:rFonts w:asciiTheme="majorHAnsi" w:hAnsiTheme="majorHAnsi"/>
          <w:lang w:val="sr-Latn-CS"/>
        </w:rPr>
        <w:t xml:space="preserve"> ad Bijeljina obavljajući svoju </w:t>
      </w:r>
      <w:r w:rsidR="00857502">
        <w:rPr>
          <w:rFonts w:asciiTheme="majorHAnsi" w:hAnsiTheme="majorHAnsi"/>
          <w:lang w:val="sr-Latn-CS"/>
        </w:rPr>
        <w:t xml:space="preserve">redovnu </w:t>
      </w:r>
      <w:r w:rsidR="00455101">
        <w:rPr>
          <w:rFonts w:asciiTheme="majorHAnsi" w:hAnsiTheme="majorHAnsi"/>
          <w:lang w:val="sr-Latn-CS"/>
        </w:rPr>
        <w:t xml:space="preserve">djelatnost se bavi neživotnim </w:t>
      </w:r>
      <w:r w:rsidR="00EF1890">
        <w:rPr>
          <w:rFonts w:asciiTheme="majorHAnsi" w:hAnsiTheme="majorHAnsi"/>
          <w:lang w:val="sr-Latn-CS"/>
        </w:rPr>
        <w:t xml:space="preserve">vrstama </w:t>
      </w:r>
      <w:r w:rsidR="00455101">
        <w:rPr>
          <w:rFonts w:asciiTheme="majorHAnsi" w:hAnsiTheme="majorHAnsi"/>
          <w:lang w:val="sr-Latn-CS"/>
        </w:rPr>
        <w:t>osiguranjem kao pretežno</w:t>
      </w:r>
      <w:r w:rsidR="00EF1890">
        <w:rPr>
          <w:rFonts w:asciiTheme="majorHAnsi" w:hAnsiTheme="majorHAnsi"/>
          <w:lang w:val="sr-Latn-CS"/>
        </w:rPr>
        <w:t xml:space="preserve">m djelatnošću.Svoju djelatnost </w:t>
      </w:r>
      <w:r w:rsidR="00455101">
        <w:rPr>
          <w:rFonts w:asciiTheme="majorHAnsi" w:hAnsiTheme="majorHAnsi"/>
          <w:lang w:val="sr-Latn-CS"/>
        </w:rPr>
        <w:t xml:space="preserve"> obavlja</w:t>
      </w:r>
      <w:r w:rsidR="00EF1890">
        <w:rPr>
          <w:rFonts w:asciiTheme="majorHAnsi" w:hAnsiTheme="majorHAnsi"/>
          <w:lang w:val="sr-Latn-CS"/>
        </w:rPr>
        <w:t xml:space="preserve"> </w:t>
      </w:r>
      <w:r w:rsidR="00455101">
        <w:rPr>
          <w:rFonts w:asciiTheme="majorHAnsi" w:hAnsiTheme="majorHAnsi"/>
          <w:lang w:val="sr-Latn-CS"/>
        </w:rPr>
        <w:t xml:space="preserve">preko vlastite poslovne mreže sa 85 zaposlenih </w:t>
      </w:r>
      <w:r w:rsidR="00857502">
        <w:rPr>
          <w:rFonts w:asciiTheme="majorHAnsi" w:hAnsiTheme="majorHAnsi"/>
          <w:lang w:val="sr-Latn-CS"/>
        </w:rPr>
        <w:t xml:space="preserve">radnika </w:t>
      </w:r>
      <w:r w:rsidR="00455101">
        <w:rPr>
          <w:rFonts w:asciiTheme="majorHAnsi" w:hAnsiTheme="majorHAnsi"/>
          <w:lang w:val="sr-Latn-CS"/>
        </w:rPr>
        <w:t xml:space="preserve">na bazi stanja krajem mjseca,čeiri radne jedinice ,preko 40 šaltera i tri brokerske kuće </w:t>
      </w:r>
      <w:r w:rsidR="006D0C87">
        <w:rPr>
          <w:rFonts w:asciiTheme="majorHAnsi" w:hAnsiTheme="majorHAnsi"/>
          <w:lang w:val="sr-Latn-CS"/>
        </w:rPr>
        <w:t>,</w:t>
      </w:r>
      <w:r w:rsidR="00455101">
        <w:rPr>
          <w:rFonts w:asciiTheme="majorHAnsi" w:hAnsiTheme="majorHAnsi"/>
          <w:lang w:val="sr-Latn-CS"/>
        </w:rPr>
        <w:t>preko kojih je ostvaren manji promet.</w:t>
      </w:r>
    </w:p>
    <w:p w:rsidR="006E2140" w:rsidRDefault="00485EBE" w:rsidP="00F7134F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</w:t>
      </w:r>
      <w:r w:rsidR="00455101">
        <w:rPr>
          <w:rFonts w:asciiTheme="majorHAnsi" w:hAnsiTheme="majorHAnsi"/>
          <w:lang w:val="sr-Latn-CS"/>
        </w:rPr>
        <w:t>U 2015.g.Društvo je ostvarilo fakturisanu premiju u iznosu od</w:t>
      </w:r>
      <w:r w:rsidR="006E2140">
        <w:rPr>
          <w:rFonts w:asciiTheme="majorHAnsi" w:hAnsiTheme="majorHAnsi"/>
          <w:lang w:val="sr-Latn-CS"/>
        </w:rPr>
        <w:t xml:space="preserve"> 15.445.116,96KM po svim  vidovima  neživotnog osiguranja.Prihodi po osnovu premije su formirani </w:t>
      </w:r>
      <w:r w:rsidR="00493479">
        <w:rPr>
          <w:rFonts w:asciiTheme="majorHAnsi" w:hAnsiTheme="majorHAnsi"/>
          <w:lang w:val="sr-Latn-CS"/>
        </w:rPr>
        <w:t>na</w:t>
      </w:r>
      <w:r>
        <w:rPr>
          <w:rFonts w:asciiTheme="majorHAnsi" w:hAnsiTheme="majorHAnsi"/>
          <w:lang w:val="sr-Latn-CS"/>
        </w:rPr>
        <w:t xml:space="preserve"> obračunskoj osnovi,poštujući načelo uzročnosti</w:t>
      </w:r>
      <w:r w:rsidR="006E2140">
        <w:rPr>
          <w:rFonts w:asciiTheme="majorHAnsi" w:hAnsiTheme="majorHAnsi"/>
          <w:lang w:val="sr-Latn-CS"/>
        </w:rPr>
        <w:t xml:space="preserve"> </w:t>
      </w:r>
      <w:r>
        <w:rPr>
          <w:rFonts w:asciiTheme="majorHAnsi" w:hAnsiTheme="majorHAnsi"/>
          <w:lang w:val="sr-Latn-CS"/>
        </w:rPr>
        <w:t xml:space="preserve"> nastanka prihoda  bez </w:t>
      </w:r>
      <w:r w:rsidR="006E2140">
        <w:rPr>
          <w:rFonts w:asciiTheme="majorHAnsi" w:hAnsiTheme="majorHAnsi"/>
          <w:lang w:val="sr-Latn-CS"/>
        </w:rPr>
        <w:t>obzira na iznos naplate istih.</w:t>
      </w:r>
      <w:r w:rsidR="00493479">
        <w:rPr>
          <w:rFonts w:asciiTheme="majorHAnsi" w:hAnsiTheme="majorHAnsi"/>
          <w:lang w:val="sr-Latn-CS"/>
        </w:rPr>
        <w:t>Knjiženje premije se vrši automatski u premijskom programu po broju polise i komitentu</w:t>
      </w:r>
      <w:r w:rsidR="006D0C87">
        <w:rPr>
          <w:rFonts w:asciiTheme="majorHAnsi" w:hAnsiTheme="majorHAnsi"/>
          <w:lang w:val="sr-Latn-CS"/>
        </w:rPr>
        <w:t xml:space="preserve"> </w:t>
      </w:r>
      <w:r w:rsidR="00857502">
        <w:rPr>
          <w:rFonts w:asciiTheme="majorHAnsi" w:hAnsiTheme="majorHAnsi"/>
          <w:lang w:val="sr-Latn-CS"/>
        </w:rPr>
        <w:t>.</w:t>
      </w:r>
    </w:p>
    <w:p w:rsidR="005B2D96" w:rsidRPr="00F7134F" w:rsidRDefault="005B2D96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 xml:space="preserve">NOTA </w:t>
      </w:r>
      <w:r w:rsidR="009F4FDF" w:rsidRPr="00F7134F">
        <w:rPr>
          <w:rFonts w:asciiTheme="majorHAnsi" w:hAnsiTheme="majorHAnsi"/>
          <w:b/>
          <w:lang w:val="sr-Latn-CS"/>
        </w:rPr>
        <w:t xml:space="preserve"> 27(AOP</w:t>
      </w:r>
      <w:r w:rsidR="00DB68E6" w:rsidRPr="00F7134F">
        <w:rPr>
          <w:rFonts w:asciiTheme="majorHAnsi" w:hAnsiTheme="majorHAnsi"/>
          <w:b/>
          <w:lang w:val="sr-Latn-CS"/>
        </w:rPr>
        <w:t xml:space="preserve"> 208)</w:t>
      </w:r>
    </w:p>
    <w:p w:rsidR="006E2140" w:rsidRDefault="006E2140" w:rsidP="00F7134F">
      <w:pPr>
        <w:pStyle w:val="NoSpacing"/>
        <w:rPr>
          <w:rFonts w:asciiTheme="majorHAnsi" w:hAnsiTheme="majorHAnsi"/>
          <w:b/>
          <w:lang w:val="sr-Latn-CS"/>
        </w:rPr>
      </w:pPr>
      <w:r w:rsidRPr="00F7134F">
        <w:rPr>
          <w:rFonts w:asciiTheme="majorHAnsi" w:hAnsiTheme="majorHAnsi"/>
          <w:b/>
          <w:lang w:val="sr-Latn-CS"/>
        </w:rPr>
        <w:t>Ostvarena premija po vrsti osiguranja i broju odrađenih polisa</w:t>
      </w:r>
    </w:p>
    <w:p w:rsidR="00F7134F" w:rsidRPr="00F7134F" w:rsidRDefault="00F7134F" w:rsidP="00F7134F">
      <w:pPr>
        <w:pStyle w:val="NoSpacing"/>
        <w:rPr>
          <w:rFonts w:asciiTheme="majorHAnsi" w:hAnsiTheme="majorHAnsi"/>
          <w:b/>
          <w:lang w:val="sr-Latn-CS"/>
        </w:rPr>
      </w:pPr>
    </w:p>
    <w:tbl>
      <w:tblPr>
        <w:tblW w:w="9408" w:type="dxa"/>
        <w:tblInd w:w="93" w:type="dxa"/>
        <w:tblLook w:val="04A0"/>
      </w:tblPr>
      <w:tblGrid>
        <w:gridCol w:w="2658"/>
        <w:gridCol w:w="265"/>
        <w:gridCol w:w="266"/>
        <w:gridCol w:w="660"/>
        <w:gridCol w:w="1449"/>
        <w:gridCol w:w="942"/>
        <w:gridCol w:w="1449"/>
        <w:gridCol w:w="1018"/>
        <w:gridCol w:w="701"/>
      </w:tblGrid>
      <w:tr w:rsidR="001E4D2F" w:rsidRPr="00074657" w:rsidTr="006117AF">
        <w:trPr>
          <w:trHeight w:val="404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Premija osiguranja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1E4D2F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 2015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1E4D2F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Br.polisa 2015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1E4D2F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Premija 2014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1E4D2F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Br.polisa 2014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1E4D2F" w:rsidP="001E4D2F">
            <w:pPr>
              <w:spacing w:after="0" w:line="240" w:lineRule="auto"/>
              <w:ind w:left="-997" w:firstLine="997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%</w:t>
            </w:r>
          </w:p>
        </w:tc>
      </w:tr>
      <w:tr w:rsidR="001E4D2F" w:rsidRPr="00074657" w:rsidTr="006117AF">
        <w:trPr>
          <w:trHeight w:val="40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putnika u javnom prevozu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22.215,84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12.850,02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1E4D2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1E4D2F" w:rsidRPr="00074657" w:rsidTr="006117AF">
        <w:trPr>
          <w:trHeight w:val="40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Kolektivno osiguranje radnika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79.257,74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66.465,77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1E4D2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1E4D2F" w:rsidRPr="00074657" w:rsidTr="006117AF">
        <w:trPr>
          <w:trHeight w:val="40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od auto nezgode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150.617,58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45371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140.887,91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477A94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1E4D2F" w:rsidRPr="00074657" w:rsidTr="006117AF">
        <w:trPr>
          <w:trHeight w:val="404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Putničko zdravstveno osiguranje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46.583,27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37.015,32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1E4D2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1E4D2F" w:rsidRPr="00074657" w:rsidTr="006117AF">
        <w:trPr>
          <w:trHeight w:val="3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Osigur. vozila koja se kreću po kopnu</w:t>
            </w:r>
            <w:r w:rsidR="00303F2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-kasko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606.267,99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622.392,97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1E4D2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3,93</w:t>
            </w:r>
          </w:p>
        </w:tc>
      </w:tr>
      <w:tr w:rsidR="001E4D2F" w:rsidRPr="00074657" w:rsidTr="006117AF">
        <w:trPr>
          <w:trHeight w:val="3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od imovine,transport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50.472,98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53.438,93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477A94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1E4D2F" w:rsidRPr="00074657" w:rsidTr="006117AF">
        <w:trPr>
          <w:trHeight w:val="3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imovine od požara 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146.011,67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115.030,81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477A94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0,95</w:t>
            </w:r>
          </w:p>
        </w:tc>
      </w:tr>
      <w:tr w:rsidR="001E4D2F" w:rsidRPr="00074657" w:rsidTr="006117AF">
        <w:trPr>
          <w:trHeight w:val="470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Osiguranje od ostalih šteta </w:t>
            </w: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imovine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34.841,31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26.031,56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477A94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1E4D2F" w:rsidRPr="00074657" w:rsidTr="006117AF">
        <w:trPr>
          <w:trHeight w:val="3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Osiguranje od autoodgovornosti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14.254.847,18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50821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12.915.911,21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47270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477A94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92,29</w:t>
            </w:r>
          </w:p>
        </w:tc>
      </w:tr>
      <w:tr w:rsidR="001E4D2F" w:rsidRPr="00074657" w:rsidTr="006117AF">
        <w:trPr>
          <w:trHeight w:val="3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Granično osiguranje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51.900,00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25.260,00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265136" w:rsidP="00265136">
            <w:pPr>
              <w:spacing w:after="0" w:line="240" w:lineRule="auto"/>
              <w:ind w:left="-280" w:right="-93" w:firstLine="280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1E4D2F" w:rsidRPr="00074657" w:rsidTr="006117AF">
        <w:trPr>
          <w:trHeight w:val="3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Osigur. od odgovornosti iz djelatnosti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2.101,40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1.946,60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Default="00265136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0,01</w:t>
            </w:r>
          </w:p>
          <w:p w:rsidR="00265136" w:rsidRPr="00074657" w:rsidRDefault="00265136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1E4D2F" w:rsidRPr="00074657" w:rsidTr="006117AF">
        <w:trPr>
          <w:trHeight w:val="38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15.445.116,96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100.511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14.017.231,10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D2F" w:rsidRPr="00074657" w:rsidRDefault="001E4D2F" w:rsidP="0007465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465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92.736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D2F" w:rsidRPr="00074657" w:rsidRDefault="001E4D2F" w:rsidP="0026513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E4D2F" w:rsidRDefault="001E4D2F">
      <w:pPr>
        <w:rPr>
          <w:rFonts w:asciiTheme="majorHAnsi" w:hAnsiTheme="majorHAnsi"/>
          <w:lang w:val="sr-Latn-CS"/>
        </w:rPr>
      </w:pPr>
    </w:p>
    <w:p w:rsidR="00303F20" w:rsidRDefault="002B0C33" w:rsidP="005E587A">
      <w:pPr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7134F">
        <w:rPr>
          <w:rFonts w:asciiTheme="majorHAnsi" w:hAnsiTheme="majorHAnsi"/>
          <w:lang w:val="sr-Latn-CS"/>
        </w:rPr>
        <w:t xml:space="preserve">   </w:t>
      </w:r>
      <w:r>
        <w:rPr>
          <w:rFonts w:asciiTheme="majorHAnsi" w:hAnsiTheme="majorHAnsi"/>
          <w:lang w:val="sr-Latn-CS"/>
        </w:rPr>
        <w:t xml:space="preserve"> </w:t>
      </w:r>
      <w:r w:rsidR="001E4D2F">
        <w:rPr>
          <w:rFonts w:asciiTheme="majorHAnsi" w:hAnsiTheme="majorHAnsi"/>
          <w:lang w:val="sr-Latn-CS"/>
        </w:rPr>
        <w:t>Ostvarena fakturisana premija</w:t>
      </w:r>
      <w:r w:rsidR="001B41D2">
        <w:rPr>
          <w:rFonts w:asciiTheme="majorHAnsi" w:hAnsiTheme="majorHAnsi"/>
          <w:lang w:val="sr-Latn-CS"/>
        </w:rPr>
        <w:t xml:space="preserve"> u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>iznosu od 15.445.116.96KM</w:t>
      </w:r>
      <w:r w:rsidR="001E4D2F">
        <w:rPr>
          <w:rFonts w:asciiTheme="majorHAnsi" w:hAnsiTheme="majorHAnsi"/>
          <w:lang w:val="sr-Latn-CS"/>
        </w:rPr>
        <w:t xml:space="preserve"> je veća u odnosu na isti perid predhodne godine </w:t>
      </w:r>
      <w:r w:rsidR="00303F20">
        <w:rPr>
          <w:rFonts w:asciiTheme="majorHAnsi" w:hAnsiTheme="majorHAnsi"/>
          <w:lang w:val="sr-Latn-CS"/>
        </w:rPr>
        <w:t>(</w:t>
      </w:r>
      <w:r w:rsidR="001B41D2">
        <w:rPr>
          <w:rFonts w:asciiTheme="majorHAnsi" w:hAnsiTheme="majorHAnsi"/>
          <w:lang w:val="sr-Latn-CS"/>
        </w:rPr>
        <w:t>14.017.</w:t>
      </w:r>
      <w:r w:rsidR="00E16A67">
        <w:rPr>
          <w:rFonts w:asciiTheme="majorHAnsi" w:hAnsiTheme="majorHAnsi"/>
          <w:lang w:val="sr-Latn-CS"/>
        </w:rPr>
        <w:t xml:space="preserve"> </w:t>
      </w:r>
      <w:r w:rsidR="001B41D2">
        <w:rPr>
          <w:rFonts w:asciiTheme="majorHAnsi" w:hAnsiTheme="majorHAnsi"/>
          <w:lang w:val="sr-Latn-CS"/>
        </w:rPr>
        <w:t>231,10KM</w:t>
      </w:r>
      <w:r w:rsidR="00303F20">
        <w:rPr>
          <w:rFonts w:asciiTheme="majorHAnsi" w:hAnsiTheme="majorHAnsi"/>
          <w:lang w:val="sr-Latn-CS"/>
        </w:rPr>
        <w:t>)</w:t>
      </w:r>
      <w:r w:rsidR="004E7A98">
        <w:rPr>
          <w:rFonts w:asciiTheme="majorHAnsi" w:hAnsiTheme="majorHAnsi"/>
          <w:lang w:val="sr-Latn-CS"/>
        </w:rPr>
        <w:t xml:space="preserve"> za 10%</w:t>
      </w:r>
      <w:r w:rsidR="00650AC5">
        <w:rPr>
          <w:rFonts w:asciiTheme="majorHAnsi" w:hAnsiTheme="majorHAnsi"/>
          <w:lang w:val="sr-Latn-CS"/>
        </w:rPr>
        <w:t xml:space="preserve"> ili za 1.427.885,86KM.</w:t>
      </w:r>
      <w:r w:rsidR="00A71A6D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</w:t>
      </w:r>
      <w:r w:rsidR="00EF1890">
        <w:rPr>
          <w:rFonts w:asciiTheme="majorHAnsi" w:hAnsiTheme="majorHAnsi"/>
          <w:lang w:val="sr-Latn-CS"/>
        </w:rPr>
        <w:t xml:space="preserve">                 </w:t>
      </w:r>
      <w:r w:rsidR="00493479">
        <w:rPr>
          <w:rFonts w:asciiTheme="majorHAnsi" w:hAnsiTheme="majorHAnsi"/>
          <w:lang w:val="sr-Latn-CS"/>
        </w:rPr>
        <w:t xml:space="preserve">        </w:t>
      </w:r>
      <w:r w:rsidR="00F7134F">
        <w:rPr>
          <w:rFonts w:asciiTheme="majorHAnsi" w:hAnsiTheme="majorHAnsi"/>
          <w:lang w:val="sr-Latn-CS"/>
        </w:rPr>
        <w:t xml:space="preserve">       </w:t>
      </w:r>
      <w:r w:rsidR="00303F20">
        <w:rPr>
          <w:rFonts w:asciiTheme="majorHAnsi" w:hAnsiTheme="majorHAnsi"/>
          <w:lang w:val="sr-Latn-CS"/>
        </w:rPr>
        <w:lastRenderedPageBreak/>
        <w:t>U strukturi premije najveć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stavk</w:t>
      </w:r>
      <w:r w:rsidR="003C5107">
        <w:rPr>
          <w:rFonts w:asciiTheme="majorHAnsi" w:hAnsiTheme="majorHAnsi"/>
          <w:lang w:val="sr-Latn-CS"/>
        </w:rPr>
        <w:t>a</w:t>
      </w:r>
      <w:r w:rsidR="00303F20">
        <w:rPr>
          <w:rFonts w:asciiTheme="majorHAnsi" w:hAnsiTheme="majorHAnsi"/>
          <w:lang w:val="sr-Latn-CS"/>
        </w:rPr>
        <w:t xml:space="preserve"> pripada osiguranju od autodgovornosti 92,29%</w:t>
      </w:r>
      <w:r w:rsidR="004E7A98">
        <w:rPr>
          <w:rFonts w:asciiTheme="majorHAnsi" w:hAnsiTheme="majorHAnsi"/>
          <w:lang w:val="sr-Latn-CS"/>
        </w:rPr>
        <w:t>,</w:t>
      </w:r>
      <w:r w:rsidR="004E7A98" w:rsidRPr="004E7A98">
        <w:rPr>
          <w:rFonts w:asciiTheme="majorHAnsi" w:hAnsiTheme="majorHAnsi"/>
          <w:lang w:val="sr-Latn-CS"/>
        </w:rPr>
        <w:t xml:space="preserve"> </w:t>
      </w:r>
      <w:r w:rsidR="004E7A98">
        <w:rPr>
          <w:rFonts w:asciiTheme="majorHAnsi" w:hAnsiTheme="majorHAnsi"/>
          <w:lang w:val="sr-Latn-CS"/>
        </w:rPr>
        <w:t>kasko 3,93% a ostalo se odnosi na ostale vrste osiguranja.</w:t>
      </w:r>
    </w:p>
    <w:p w:rsidR="001A7BDD" w:rsidRPr="00F730A1" w:rsidRDefault="00F7134F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</w:t>
      </w:r>
      <w:r w:rsidR="001A7BDD" w:rsidRPr="00F730A1">
        <w:rPr>
          <w:rFonts w:asciiTheme="majorHAnsi" w:hAnsiTheme="majorHAnsi"/>
          <w:b/>
          <w:lang w:val="sr-Latn-CS"/>
        </w:rPr>
        <w:t xml:space="preserve">Raspodjela premije prema </w:t>
      </w:r>
      <w:r w:rsidR="00384719">
        <w:rPr>
          <w:rFonts w:asciiTheme="majorHAnsi" w:hAnsiTheme="majorHAnsi"/>
          <w:b/>
          <w:lang w:val="sr-Latn-CS"/>
        </w:rPr>
        <w:t>Odluci o raspodjeli bruto premije</w:t>
      </w:r>
      <w:r w:rsidR="001A7BDD" w:rsidRPr="00F730A1">
        <w:rPr>
          <w:rFonts w:asciiTheme="majorHAnsi" w:hAnsiTheme="majorHAnsi"/>
          <w:b/>
          <w:lang w:val="sr-Latn-CS"/>
        </w:rPr>
        <w:t xml:space="preserve"> </w:t>
      </w:r>
      <w:r w:rsidR="00384719">
        <w:rPr>
          <w:rFonts w:asciiTheme="majorHAnsi" w:hAnsiTheme="majorHAnsi"/>
          <w:b/>
          <w:lang w:val="sr-Latn-CS"/>
        </w:rPr>
        <w:t>sa</w:t>
      </w:r>
      <w:r w:rsidR="001A7BDD" w:rsidRPr="00F730A1">
        <w:rPr>
          <w:rFonts w:asciiTheme="majorHAnsi" w:hAnsiTheme="majorHAnsi"/>
          <w:b/>
          <w:lang w:val="sr-Latn-CS"/>
        </w:rPr>
        <w:t xml:space="preserve"> maksimalnim stopama režijskog dodataka </w:t>
      </w:r>
    </w:p>
    <w:tbl>
      <w:tblPr>
        <w:tblW w:w="9447" w:type="dxa"/>
        <w:tblInd w:w="93" w:type="dxa"/>
        <w:tblLook w:val="04A0"/>
      </w:tblPr>
      <w:tblGrid>
        <w:gridCol w:w="1308"/>
        <w:gridCol w:w="340"/>
        <w:gridCol w:w="1184"/>
        <w:gridCol w:w="1080"/>
        <w:gridCol w:w="1447"/>
        <w:gridCol w:w="1184"/>
        <w:gridCol w:w="1184"/>
        <w:gridCol w:w="1720"/>
      </w:tblGrid>
      <w:tr w:rsidR="003D7937" w:rsidRPr="003D7937" w:rsidTr="006117AF">
        <w:trPr>
          <w:trHeight w:val="30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Raspored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</w:tr>
      <w:tr w:rsidR="003D7937" w:rsidRPr="003D7937" w:rsidTr="006117AF">
        <w:trPr>
          <w:trHeight w:val="320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F730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Tehnička pre</w:t>
            </w:r>
            <w:r w:rsidR="00F730A1">
              <w:rPr>
                <w:rFonts w:ascii="Cambria" w:eastAsia="Times New Roman" w:hAnsi="Cambria" w:cs="Times New Roman"/>
                <w:color w:val="000000"/>
              </w:rPr>
              <w:t>mija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173.942,90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32.142,46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10.014.723,03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442.575,63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196.057,76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10.859.441,78</w:t>
            </w:r>
          </w:p>
        </w:tc>
      </w:tr>
      <w:tr w:rsidR="003D7937" w:rsidRPr="003D7937" w:rsidTr="006117AF">
        <w:trPr>
          <w:trHeight w:val="320"/>
        </w:trPr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Preventiva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2.520,91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465,83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12.125,36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3.617,06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18.729,16</w:t>
            </w:r>
          </w:p>
        </w:tc>
      </w:tr>
      <w:tr w:rsidR="003D7937" w:rsidRPr="003D7937" w:rsidTr="006117AF">
        <w:trPr>
          <w:trHeight w:val="30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F730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Režijski dod</w:t>
            </w:r>
            <w:r w:rsidR="00F730A1">
              <w:rPr>
                <w:rFonts w:ascii="Cambria" w:eastAsia="Times New Roman" w:hAnsi="Cambria" w:cs="Times New Roman"/>
                <w:color w:val="000000"/>
              </w:rPr>
              <w:t>odatak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75.627,35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13.974,98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4.292.024,15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151.567,00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33.752,54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4.566.946,02</w:t>
            </w:r>
          </w:p>
        </w:tc>
      </w:tr>
      <w:tr w:rsidR="003D7937" w:rsidRPr="003D7937" w:rsidTr="006117AF">
        <w:trPr>
          <w:trHeight w:val="30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252.091,16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46.583,27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14.306.747,18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606.267,99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233.427,36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937" w:rsidRPr="003D7937" w:rsidRDefault="003D7937" w:rsidP="003D793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D793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15.445.116,96</w:t>
            </w:r>
          </w:p>
        </w:tc>
      </w:tr>
    </w:tbl>
    <w:p w:rsidR="001A7BDD" w:rsidRDefault="001A7BDD">
      <w:pPr>
        <w:rPr>
          <w:rFonts w:asciiTheme="majorHAnsi" w:hAnsiTheme="majorHAnsi"/>
          <w:lang w:val="sr-Latn-CS"/>
        </w:rPr>
      </w:pPr>
    </w:p>
    <w:p w:rsidR="00485C3D" w:rsidRPr="00756F76" w:rsidRDefault="00FD17FF">
      <w:pPr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        </w:t>
      </w:r>
      <w:r w:rsidR="00485C3D" w:rsidRPr="00756F76">
        <w:rPr>
          <w:rFonts w:asciiTheme="majorHAnsi" w:hAnsiTheme="majorHAnsi"/>
          <w:lang w:val="sr-Latn-CS"/>
        </w:rPr>
        <w:t xml:space="preserve">Obračunom prenosne premije u skladu sa Pravilnikom o </w:t>
      </w:r>
      <w:r w:rsidR="00552CA2" w:rsidRPr="00756F76">
        <w:rPr>
          <w:rFonts w:asciiTheme="majorHAnsi" w:hAnsiTheme="majorHAnsi"/>
          <w:lang w:val="sr-Latn-CS"/>
        </w:rPr>
        <w:t xml:space="preserve">načinu </w:t>
      </w:r>
      <w:r w:rsidR="0037124B" w:rsidRPr="00756F76">
        <w:rPr>
          <w:rFonts w:asciiTheme="majorHAnsi" w:hAnsiTheme="majorHAnsi"/>
          <w:lang w:val="sr-Latn-CS"/>
        </w:rPr>
        <w:t xml:space="preserve">i obračunu </w:t>
      </w:r>
      <w:r w:rsidR="00485C3D" w:rsidRPr="00756F76">
        <w:rPr>
          <w:rFonts w:asciiTheme="majorHAnsi" w:hAnsiTheme="majorHAnsi"/>
          <w:lang w:val="sr-Latn-CS"/>
        </w:rPr>
        <w:t>prenosno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premij</w:t>
      </w:r>
      <w:r w:rsidR="0037124B" w:rsidRPr="00756F76">
        <w:rPr>
          <w:rFonts w:asciiTheme="majorHAnsi" w:hAnsiTheme="majorHAnsi"/>
          <w:lang w:val="sr-Latn-CS"/>
        </w:rPr>
        <w:t>e</w:t>
      </w:r>
      <w:r w:rsidR="00485C3D" w:rsidRPr="00756F76">
        <w:rPr>
          <w:rFonts w:asciiTheme="majorHAnsi" w:hAnsiTheme="majorHAnsi"/>
          <w:lang w:val="sr-Latn-CS"/>
        </w:rPr>
        <w:t xml:space="preserve"> izvršeno je smanjenje prihoda perioda u korist prenosne premije u iznosu od 819.275,66KM.</w:t>
      </w:r>
    </w:p>
    <w:p w:rsidR="0037124B" w:rsidRPr="00756F76" w:rsidRDefault="00FD17FF">
      <w:pPr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        </w:t>
      </w:r>
      <w:r w:rsidR="0037124B" w:rsidRPr="00756F76">
        <w:rPr>
          <w:rFonts w:asciiTheme="majorHAnsi" w:hAnsiTheme="majorHAnsi"/>
          <w:lang w:val="sr-Latn-CS"/>
        </w:rPr>
        <w:t>Mjerodavna premija Društva utvrđena na sledeći način iznosi 14.</w:t>
      </w:r>
      <w:r w:rsidR="006A4EF0" w:rsidRPr="00756F76">
        <w:rPr>
          <w:rFonts w:asciiTheme="majorHAnsi" w:hAnsiTheme="majorHAnsi"/>
          <w:lang w:val="sr-Latn-CS"/>
        </w:rPr>
        <w:t>625.841,30KM.</w:t>
      </w:r>
    </w:p>
    <w:p w:rsidR="0037124B" w:rsidRPr="00756F76" w:rsidRDefault="00FD17FF" w:rsidP="00FD17FF">
      <w:pPr>
        <w:spacing w:line="240" w:lineRule="auto"/>
        <w:rPr>
          <w:rFonts w:asciiTheme="majorHAnsi" w:hAnsiTheme="majorHAnsi"/>
          <w:lang w:val="sr-Latn-CS"/>
        </w:rPr>
      </w:pPr>
      <w:r w:rsidRPr="00756F76">
        <w:rPr>
          <w:rFonts w:asciiTheme="majorHAnsi" w:hAnsiTheme="majorHAnsi"/>
          <w:lang w:val="sr-Latn-CS"/>
        </w:rPr>
        <w:t xml:space="preserve">       </w:t>
      </w:r>
      <w:r w:rsidR="0037124B" w:rsidRPr="00756F76">
        <w:rPr>
          <w:rFonts w:asciiTheme="majorHAnsi" w:hAnsiTheme="majorHAnsi"/>
          <w:lang w:val="sr-Latn-CS"/>
        </w:rPr>
        <w:t>Fakturisana premija 2015.g (15.445.116,96) +PP 01.01. (</w:t>
      </w:r>
      <w:r w:rsidR="000877F7" w:rsidRPr="00756F76">
        <w:rPr>
          <w:rFonts w:asciiTheme="majorHAnsi" w:hAnsiTheme="majorHAnsi"/>
          <w:lang w:val="sr-Latn-CS"/>
        </w:rPr>
        <w:t>7.230.671,16</w:t>
      </w:r>
      <w:r w:rsidR="0037124B" w:rsidRPr="00756F76">
        <w:rPr>
          <w:rFonts w:asciiTheme="majorHAnsi" w:hAnsiTheme="majorHAnsi"/>
          <w:lang w:val="sr-Latn-CS"/>
        </w:rPr>
        <w:t>)-PP31.12.(</w:t>
      </w:r>
      <w:r w:rsidR="000877F7" w:rsidRPr="00756F76">
        <w:rPr>
          <w:rFonts w:asciiTheme="majorHAnsi" w:hAnsiTheme="majorHAnsi"/>
          <w:lang w:val="sr-Latn-CS"/>
        </w:rPr>
        <w:t>8.049.946,82</w:t>
      </w:r>
      <w:r w:rsidR="0037124B" w:rsidRPr="00756F76">
        <w:rPr>
          <w:rFonts w:asciiTheme="majorHAnsi" w:hAnsiTheme="majorHAnsi"/>
          <w:lang w:val="sr-Latn-CS"/>
        </w:rPr>
        <w:t>)          =</w:t>
      </w:r>
      <w:r w:rsidR="000877F7" w:rsidRPr="00756F76">
        <w:rPr>
          <w:rFonts w:asciiTheme="majorHAnsi" w:hAnsiTheme="majorHAnsi"/>
          <w:lang w:val="sr-Latn-CS"/>
        </w:rPr>
        <w:t>14.625.841,30KM</w:t>
      </w:r>
      <w:r w:rsidRPr="00756F76">
        <w:rPr>
          <w:rFonts w:asciiTheme="majorHAnsi" w:hAnsiTheme="majorHAnsi"/>
          <w:lang w:val="sr-Latn-CS"/>
        </w:rPr>
        <w:t>.</w:t>
      </w:r>
    </w:p>
    <w:p w:rsidR="002355D2" w:rsidRDefault="002355D2" w:rsidP="00FD17FF">
      <w:pPr>
        <w:spacing w:line="240" w:lineRule="auto"/>
        <w:rPr>
          <w:rFonts w:asciiTheme="majorHAnsi" w:hAnsiTheme="majorHAnsi"/>
          <w:lang w:val="sr-Latn-CS"/>
        </w:rPr>
      </w:pPr>
      <w:r w:rsidRPr="00946943">
        <w:rPr>
          <w:lang w:val="sr-Latn-CS"/>
        </w:rPr>
        <w:t xml:space="preserve"> </w:t>
      </w:r>
      <w:r w:rsidRPr="00946943">
        <w:rPr>
          <w:rFonts w:asciiTheme="majorHAnsi" w:hAnsiTheme="majorHAnsi"/>
          <w:lang w:val="sr-Latn-CS"/>
        </w:rPr>
        <w:t>Mjerodavna premija 2015.g.(</w:t>
      </w:r>
      <w:r w:rsidR="00BB3D9E" w:rsidRPr="00946943">
        <w:rPr>
          <w:rFonts w:asciiTheme="majorHAnsi" w:hAnsiTheme="majorHAnsi"/>
          <w:lang w:val="sr-Latn-CS"/>
        </w:rPr>
        <w:t>14.625.841,30</w:t>
      </w:r>
      <w:r w:rsidRPr="00946943">
        <w:rPr>
          <w:rFonts w:asciiTheme="majorHAnsi" w:hAnsiTheme="majorHAnsi"/>
          <w:lang w:val="sr-Latn-CS"/>
        </w:rPr>
        <w:t xml:space="preserve">) je veća u odnosu na isti period predhodne godine (13.850.053)za </w:t>
      </w:r>
      <w:r w:rsidR="00BB3D9E" w:rsidRPr="00946943">
        <w:rPr>
          <w:rFonts w:asciiTheme="majorHAnsi" w:hAnsiTheme="majorHAnsi"/>
          <w:lang w:val="sr-Latn-CS"/>
        </w:rPr>
        <w:t>5,60</w:t>
      </w:r>
      <w:r w:rsidRPr="00946943">
        <w:rPr>
          <w:rFonts w:asciiTheme="majorHAnsi" w:hAnsiTheme="majorHAnsi"/>
          <w:lang w:val="sr-Latn-CS"/>
        </w:rPr>
        <w:t>%</w:t>
      </w:r>
      <w:r w:rsidR="00331335" w:rsidRPr="00946943">
        <w:rPr>
          <w:rFonts w:asciiTheme="majorHAnsi" w:hAnsiTheme="majorHAnsi"/>
          <w:lang w:val="sr-Latn-CS"/>
        </w:rPr>
        <w:t>.</w:t>
      </w:r>
    </w:p>
    <w:p w:rsidR="00003CB4" w:rsidRPr="00003CB4" w:rsidRDefault="00003CB4" w:rsidP="00FD17FF">
      <w:pPr>
        <w:spacing w:line="240" w:lineRule="auto"/>
        <w:rPr>
          <w:rFonts w:asciiTheme="majorHAnsi" w:hAnsiTheme="majorHAnsi"/>
          <w:b/>
          <w:lang w:val="sr-Latn-CS"/>
        </w:rPr>
      </w:pPr>
      <w:r w:rsidRPr="00003CB4"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9331" w:type="dxa"/>
        <w:tblInd w:w="93" w:type="dxa"/>
        <w:tblLook w:val="04A0"/>
      </w:tblPr>
      <w:tblGrid>
        <w:gridCol w:w="2195"/>
        <w:gridCol w:w="1060"/>
        <w:gridCol w:w="663"/>
        <w:gridCol w:w="1701"/>
        <w:gridCol w:w="1834"/>
        <w:gridCol w:w="442"/>
        <w:gridCol w:w="1436"/>
      </w:tblGrid>
      <w:tr w:rsidR="00003CB4" w:rsidRPr="00003CB4" w:rsidTr="006117AF">
        <w:trPr>
          <w:trHeight w:val="30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31.12.2015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31.12.2014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Razlika</w:t>
            </w:r>
          </w:p>
        </w:tc>
      </w:tr>
      <w:tr w:rsidR="00003CB4" w:rsidRPr="00003CB4" w:rsidTr="006117AF">
        <w:trPr>
          <w:trHeight w:val="307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Premija nezgode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124.802,21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114.625,22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10.176,99</w:t>
            </w:r>
          </w:p>
        </w:tc>
      </w:tr>
      <w:tr w:rsidR="00003CB4" w:rsidRPr="00003CB4" w:rsidTr="006117AF">
        <w:trPr>
          <w:trHeight w:val="307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Put.zd.</w:t>
            </w: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osiguranje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7.064,87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5.239,16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1.825,71</w:t>
            </w:r>
          </w:p>
        </w:tc>
      </w:tr>
      <w:tr w:rsidR="00003CB4" w:rsidRPr="00003CB4" w:rsidTr="006117AF">
        <w:trPr>
          <w:trHeight w:val="307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Premija 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7.485.372,87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6.679.325,98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806.046,89</w:t>
            </w:r>
          </w:p>
        </w:tc>
      </w:tr>
      <w:tr w:rsidR="00003CB4" w:rsidRPr="00003CB4" w:rsidTr="006117AF">
        <w:trPr>
          <w:trHeight w:val="307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Premij po kasku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286.888,59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320.951,28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-34.062,69</w:t>
            </w:r>
          </w:p>
        </w:tc>
      </w:tr>
      <w:tr w:rsidR="00003CB4" w:rsidRPr="00003CB4" w:rsidTr="006117AF">
        <w:trPr>
          <w:trHeight w:val="30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Premija imovine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145.820,11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110.529,52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35.290,59</w:t>
            </w:r>
          </w:p>
        </w:tc>
      </w:tr>
      <w:tr w:rsidR="00003CB4" w:rsidRPr="00003CB4" w:rsidTr="006117AF">
        <w:trPr>
          <w:trHeight w:val="307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8.049.948,65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7.230.671,16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CB4" w:rsidRPr="00003CB4" w:rsidRDefault="00003CB4" w:rsidP="00003CB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03CB4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819.277,49</w:t>
            </w:r>
          </w:p>
        </w:tc>
      </w:tr>
    </w:tbl>
    <w:p w:rsidR="00003CB4" w:rsidRDefault="00003CB4" w:rsidP="00FD17FF">
      <w:pPr>
        <w:spacing w:line="240" w:lineRule="auto"/>
        <w:rPr>
          <w:rFonts w:asciiTheme="majorHAnsi" w:hAnsiTheme="majorHAnsi"/>
          <w:lang w:val="sr-Latn-CS"/>
        </w:rPr>
      </w:pPr>
    </w:p>
    <w:p w:rsidR="00082B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  <w:u w:val="single"/>
          <w:lang w:val="sr-Latn-CS"/>
        </w:rPr>
        <w:t>NOTA 28(AOP 209)</w:t>
      </w:r>
    </w:p>
    <w:p w:rsidR="003678AE" w:rsidRPr="00082BAE" w:rsidRDefault="003678AE" w:rsidP="00082BAE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082BAE">
        <w:rPr>
          <w:rFonts w:asciiTheme="majorHAnsi" w:hAnsiTheme="majorHAnsi"/>
          <w:b/>
        </w:rPr>
        <w:t xml:space="preserve">Prihodi po osnovu učešća </w:t>
      </w:r>
      <w:r w:rsidR="00082BAE">
        <w:rPr>
          <w:rFonts w:asciiTheme="majorHAnsi" w:hAnsiTheme="majorHAnsi"/>
          <w:b/>
        </w:rPr>
        <w:t>re</w:t>
      </w:r>
      <w:r w:rsidRPr="00082BAE">
        <w:rPr>
          <w:rFonts w:asciiTheme="majorHAnsi" w:hAnsiTheme="majorHAnsi"/>
          <w:b/>
        </w:rPr>
        <w:t>osiguravač</w:t>
      </w:r>
      <w:r w:rsidRPr="00082BAE">
        <w:rPr>
          <w:rFonts w:asciiTheme="majorHAnsi" w:hAnsiTheme="majorHAnsi"/>
          <w:b/>
          <w:lang w:val="sr-Latn-CS"/>
        </w:rPr>
        <w:t>a</w:t>
      </w:r>
      <w:r w:rsidR="0026177B">
        <w:rPr>
          <w:rFonts w:asciiTheme="majorHAnsi" w:hAnsiTheme="majorHAnsi"/>
          <w:b/>
          <w:lang w:val="sr-Latn-CS"/>
        </w:rPr>
        <w:t xml:space="preserve"> u likvidiranim štetama</w:t>
      </w:r>
    </w:p>
    <w:p w:rsidR="00F64BBA" w:rsidRDefault="00F64BBA" w:rsidP="00082BAE">
      <w:pPr>
        <w:pStyle w:val="NoSpacing"/>
        <w:rPr>
          <w:rFonts w:asciiTheme="majorHAnsi" w:hAnsiTheme="majorHAnsi"/>
          <w:lang w:val="sr-Latn-CS"/>
        </w:rPr>
      </w:pPr>
    </w:p>
    <w:p w:rsidR="00F64BBA" w:rsidRDefault="00EF1890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F64BBA">
        <w:rPr>
          <w:rFonts w:asciiTheme="majorHAnsi" w:hAnsiTheme="majorHAnsi"/>
          <w:lang w:val="sr-Latn-CS"/>
        </w:rPr>
        <w:t>Prihod po osnovu učešća reosiguravača u likvidiranim štetama iznosi 208.290,28KM.</w:t>
      </w:r>
    </w:p>
    <w:p w:rsidR="00F64BBA" w:rsidRDefault="00F64BBA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Po osnovu ugovora o reosiguranju </w:t>
      </w:r>
      <w:r w:rsidR="00857502">
        <w:rPr>
          <w:rFonts w:asciiTheme="majorHAnsi" w:hAnsiTheme="majorHAnsi"/>
          <w:lang w:val="sr-Latn-CS"/>
        </w:rPr>
        <w:t>N</w:t>
      </w:r>
      <w:r>
        <w:rPr>
          <w:rFonts w:asciiTheme="majorHAnsi" w:hAnsiTheme="majorHAnsi"/>
          <w:lang w:val="sr-Latn-CS"/>
        </w:rPr>
        <w:t xml:space="preserve">ota </w:t>
      </w:r>
      <w:r w:rsidR="00857502">
        <w:rPr>
          <w:rFonts w:asciiTheme="majorHAnsi" w:hAnsiTheme="majorHAnsi"/>
          <w:lang w:val="sr-Latn-CS"/>
        </w:rPr>
        <w:t>BS -22,u 2015.g.,</w:t>
      </w:r>
      <w:r w:rsidR="00D244D7">
        <w:rPr>
          <w:rFonts w:asciiTheme="majorHAnsi" w:hAnsiTheme="majorHAnsi"/>
          <w:lang w:val="sr-Latn-CS"/>
        </w:rPr>
        <w:t xml:space="preserve">oblici reosiguravajućeg pokriće su </w:t>
      </w:r>
      <w:r w:rsidR="00857502">
        <w:rPr>
          <w:rFonts w:asciiTheme="majorHAnsi" w:hAnsiTheme="majorHAnsi"/>
          <w:lang w:val="sr-Latn-CS"/>
        </w:rPr>
        <w:t xml:space="preserve">evidentni </w:t>
      </w:r>
      <w:r w:rsidR="00D244D7">
        <w:rPr>
          <w:rFonts w:asciiTheme="majorHAnsi" w:hAnsiTheme="majorHAnsi"/>
          <w:lang w:val="sr-Latn-CS"/>
        </w:rPr>
        <w:t xml:space="preserve"> za sledeće vrste osiguranja: </w:t>
      </w:r>
    </w:p>
    <w:p w:rsidR="00D244D7" w:rsidRDefault="00D244D7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-osiguranje od autoodgovornosti u iznosu od 197.821,07KM</w:t>
      </w:r>
    </w:p>
    <w:p w:rsidR="00D244D7" w:rsidRDefault="00D244D7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-osiguranje po osnovu imovina transport u iznosu od 9.839,87KM i</w:t>
      </w:r>
    </w:p>
    <w:p w:rsidR="00D244D7" w:rsidRDefault="00D244D7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-osiguranje po osnovu imovina požar u iznosu od 629,34KM.</w:t>
      </w:r>
    </w:p>
    <w:p w:rsidR="00635110" w:rsidRDefault="00635110" w:rsidP="00D244D7">
      <w:pPr>
        <w:pStyle w:val="NoSpacing"/>
        <w:rPr>
          <w:rFonts w:asciiTheme="majorHAnsi" w:hAnsiTheme="majorHAnsi"/>
          <w:lang w:val="sr-Latn-CS"/>
        </w:rPr>
      </w:pPr>
    </w:p>
    <w:p w:rsidR="00635110" w:rsidRDefault="00493479" w:rsidP="005E587A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  </w:t>
      </w:r>
      <w:r w:rsidR="00635110">
        <w:rPr>
          <w:rFonts w:asciiTheme="majorHAnsi" w:hAnsiTheme="majorHAnsi"/>
          <w:lang w:val="sr-Latn-CS"/>
        </w:rPr>
        <w:t>U istom periodu predhodne godine navedeni prihod je iznosio 615.930KM, zbog velikog iznos</w:t>
      </w:r>
      <w:r>
        <w:rPr>
          <w:rFonts w:asciiTheme="majorHAnsi" w:hAnsiTheme="majorHAnsi"/>
          <w:lang w:val="sr-Latn-CS"/>
        </w:rPr>
        <w:t>a</w:t>
      </w:r>
      <w:r w:rsidR="00635110">
        <w:rPr>
          <w:rFonts w:asciiTheme="majorHAnsi" w:hAnsiTheme="majorHAnsi"/>
          <w:lang w:val="sr-Latn-CS"/>
        </w:rPr>
        <w:t xml:space="preserve"> štete po osnovu  autoodgovornosti koja je </w:t>
      </w:r>
      <w:r w:rsidR="005C2C9B">
        <w:rPr>
          <w:rFonts w:asciiTheme="majorHAnsi" w:hAnsiTheme="majorHAnsi"/>
          <w:lang w:val="sr-Latn-CS"/>
        </w:rPr>
        <w:t>pa</w:t>
      </w:r>
      <w:r w:rsidR="001614CF">
        <w:rPr>
          <w:rFonts w:asciiTheme="majorHAnsi" w:hAnsiTheme="majorHAnsi"/>
          <w:lang w:val="sr-Latn-CS"/>
        </w:rPr>
        <w:t>la</w:t>
      </w:r>
      <w:r w:rsidR="005C2C9B">
        <w:rPr>
          <w:rFonts w:asciiTheme="majorHAnsi" w:hAnsiTheme="majorHAnsi"/>
          <w:lang w:val="sr-Latn-CS"/>
        </w:rPr>
        <w:t xml:space="preserve"> na teret reosiguravača.</w:t>
      </w:r>
    </w:p>
    <w:p w:rsidR="00635110" w:rsidRDefault="00635110" w:rsidP="00D244D7">
      <w:pPr>
        <w:pStyle w:val="NoSpacing"/>
        <w:rPr>
          <w:rFonts w:asciiTheme="majorHAnsi" w:hAnsiTheme="majorHAnsi"/>
          <w:lang w:val="sr-Latn-CS"/>
        </w:rPr>
      </w:pPr>
    </w:p>
    <w:p w:rsidR="00635110" w:rsidRDefault="00635110" w:rsidP="00D244D7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635110">
        <w:rPr>
          <w:rFonts w:asciiTheme="majorHAnsi" w:hAnsiTheme="majorHAnsi"/>
          <w:b/>
          <w:u w:val="single"/>
          <w:lang w:val="sr-Latn-CS"/>
        </w:rPr>
        <w:t>NOTA 29(AOP 211)</w:t>
      </w:r>
    </w:p>
    <w:p w:rsidR="00635110" w:rsidRDefault="00635110" w:rsidP="00D244D7">
      <w:pPr>
        <w:pStyle w:val="NoSpacing"/>
        <w:rPr>
          <w:rFonts w:asciiTheme="majorHAnsi" w:hAnsiTheme="majorHAnsi"/>
          <w:b/>
          <w:lang w:val="sr-Latn-CS"/>
        </w:rPr>
      </w:pPr>
      <w:r w:rsidRPr="00635110">
        <w:rPr>
          <w:rFonts w:asciiTheme="majorHAnsi" w:hAnsiTheme="majorHAnsi"/>
          <w:b/>
          <w:lang w:val="sr-Latn-CS"/>
        </w:rPr>
        <w:t>Prihodi od povrata poreskih dažbina</w:t>
      </w:r>
    </w:p>
    <w:p w:rsidR="00635110" w:rsidRDefault="00635110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635110" w:rsidRDefault="00EF1890" w:rsidP="009E45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635110" w:rsidRPr="00635110">
        <w:rPr>
          <w:rFonts w:asciiTheme="majorHAnsi" w:hAnsiTheme="majorHAnsi"/>
          <w:lang w:val="sr-Latn-CS"/>
        </w:rPr>
        <w:t>Prihodi po osnovu</w:t>
      </w:r>
      <w:r w:rsidR="00635110">
        <w:rPr>
          <w:rFonts w:asciiTheme="majorHAnsi" w:hAnsiTheme="majorHAnsi"/>
          <w:lang w:val="sr-Latn-CS"/>
        </w:rPr>
        <w:t xml:space="preserve"> povrata</w:t>
      </w:r>
      <w:r w:rsidR="00635110" w:rsidRPr="00635110">
        <w:rPr>
          <w:rFonts w:asciiTheme="majorHAnsi" w:hAnsiTheme="majorHAnsi"/>
          <w:lang w:val="sr-Latn-CS"/>
        </w:rPr>
        <w:t xml:space="preserve"> </w:t>
      </w:r>
      <w:r w:rsidR="00635110">
        <w:rPr>
          <w:rFonts w:asciiTheme="majorHAnsi" w:hAnsiTheme="majorHAnsi"/>
          <w:lang w:val="sr-Latn-CS"/>
        </w:rPr>
        <w:t>poreskih dažbina su nastali po osnovu refundacije porodiljskog bolovanja  u iznosu od 13.600KM.</w:t>
      </w:r>
      <w:r w:rsidR="00A42918">
        <w:rPr>
          <w:rFonts w:asciiTheme="majorHAnsi" w:hAnsiTheme="majorHAnsi"/>
          <w:lang w:val="sr-Latn-CS"/>
        </w:rPr>
        <w:t>U predhodnom periodu navedeni prihodi su iznosili 21.800KM.</w:t>
      </w:r>
    </w:p>
    <w:p w:rsidR="00406920" w:rsidRDefault="00406920" w:rsidP="00D244D7">
      <w:pPr>
        <w:pStyle w:val="NoSpacing"/>
        <w:rPr>
          <w:rFonts w:asciiTheme="majorHAnsi" w:hAnsiTheme="majorHAnsi"/>
          <w:lang w:val="sr-Latn-CS"/>
        </w:rPr>
      </w:pPr>
    </w:p>
    <w:p w:rsidR="00406920" w:rsidRDefault="00406920" w:rsidP="00D244D7">
      <w:pPr>
        <w:pStyle w:val="NoSpacing"/>
        <w:rPr>
          <w:rFonts w:asciiTheme="majorHAnsi" w:hAnsiTheme="majorHAnsi"/>
          <w:b/>
          <w:lang w:val="sr-Latn-CS"/>
        </w:rPr>
      </w:pPr>
      <w:r w:rsidRPr="00406920">
        <w:rPr>
          <w:rFonts w:asciiTheme="majorHAnsi" w:hAnsiTheme="majorHAnsi"/>
          <w:b/>
          <w:u w:val="single"/>
          <w:lang w:val="sr-Latn-CS"/>
        </w:rPr>
        <w:t>NOTA 30(AOP 212</w:t>
      </w:r>
      <w:r w:rsidRPr="00406920">
        <w:rPr>
          <w:rFonts w:asciiTheme="majorHAnsi" w:hAnsiTheme="majorHAnsi"/>
          <w:b/>
          <w:lang w:val="sr-Latn-CS"/>
        </w:rPr>
        <w:t>)</w:t>
      </w:r>
    </w:p>
    <w:p w:rsidR="00B722AE" w:rsidRDefault="00B722AE" w:rsidP="00D244D7">
      <w:pPr>
        <w:pStyle w:val="NoSpacing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>Drugi poslovni prihodi</w:t>
      </w:r>
    </w:p>
    <w:p w:rsidR="00A10D6F" w:rsidRDefault="00A10D6F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A10D6F" w:rsidRPr="00A10D6F" w:rsidRDefault="00A10D6F" w:rsidP="00D244D7">
      <w:pPr>
        <w:pStyle w:val="NoSpacing"/>
        <w:rPr>
          <w:rFonts w:asciiTheme="majorHAnsi" w:hAnsiTheme="majorHAnsi"/>
          <w:lang w:val="sr-Latn-CS"/>
        </w:rPr>
      </w:pPr>
      <w:r w:rsidRPr="00A10D6F">
        <w:rPr>
          <w:rFonts w:asciiTheme="majorHAnsi" w:hAnsiTheme="majorHAnsi"/>
          <w:lang w:val="sr-Latn-CS"/>
        </w:rPr>
        <w:t>Drugi poslov</w:t>
      </w:r>
      <w:r>
        <w:rPr>
          <w:rFonts w:asciiTheme="majorHAnsi" w:hAnsiTheme="majorHAnsi"/>
          <w:lang w:val="sr-Latn-CS"/>
        </w:rPr>
        <w:t>n</w:t>
      </w:r>
      <w:r w:rsidRPr="00A10D6F">
        <w:rPr>
          <w:rFonts w:asciiTheme="majorHAnsi" w:hAnsiTheme="majorHAnsi"/>
          <w:lang w:val="sr-Latn-CS"/>
        </w:rPr>
        <w:t>i prihodi po vrsti i iznosu:</w:t>
      </w:r>
    </w:p>
    <w:tbl>
      <w:tblPr>
        <w:tblW w:w="9273" w:type="dxa"/>
        <w:tblInd w:w="93" w:type="dxa"/>
        <w:tblLook w:val="04A0"/>
      </w:tblPr>
      <w:tblGrid>
        <w:gridCol w:w="2876"/>
        <w:gridCol w:w="839"/>
        <w:gridCol w:w="839"/>
        <w:gridCol w:w="290"/>
        <w:gridCol w:w="1241"/>
        <w:gridCol w:w="1242"/>
        <w:gridCol w:w="1083"/>
        <w:gridCol w:w="863"/>
      </w:tblGrid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provizije reosig.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sz w:val="20"/>
                <w:szCs w:val="20"/>
              </w:rPr>
              <w:t xml:space="preserve">16.961,92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sz w:val="20"/>
                <w:szCs w:val="20"/>
              </w:rPr>
              <w:t xml:space="preserve">11.900,11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1,76</w:t>
            </w:r>
          </w:p>
        </w:tc>
      </w:tr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352.153,73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220.530,73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36,48</w:t>
            </w:r>
          </w:p>
        </w:tc>
      </w:tr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385.268,97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300.614,12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39,91</w:t>
            </w:r>
          </w:p>
        </w:tc>
      </w:tr>
      <w:tr w:rsidR="00F333A8" w:rsidRPr="0007287C" w:rsidTr="006117AF">
        <w:trPr>
          <w:trHeight w:val="319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195.065,00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176.025,00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20,21</w:t>
            </w:r>
          </w:p>
        </w:tc>
      </w:tr>
      <w:tr w:rsidR="00F333A8" w:rsidRPr="0007287C" w:rsidTr="006117AF">
        <w:trPr>
          <w:trHeight w:val="319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710,00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1.300,00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F333A8" w:rsidRPr="0007287C" w:rsidTr="006117AF">
        <w:trPr>
          <w:trHeight w:val="319"/>
        </w:trPr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8.039,80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6.308,12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F333A8" w:rsidRPr="0007287C" w:rsidTr="006117AF">
        <w:trPr>
          <w:trHeight w:val="319"/>
        </w:trPr>
        <w:tc>
          <w:tcPr>
            <w:tcW w:w="4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nap,šteta na stvar.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4.014,57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0,00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F333A8" w:rsidRPr="0007287C" w:rsidTr="006117AF">
        <w:trPr>
          <w:trHeight w:val="319"/>
        </w:trPr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Prihodi po osnovu povećanja IN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0,00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77.484,74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3A8" w:rsidRPr="0007287C" w:rsidTr="006117AF">
        <w:trPr>
          <w:trHeight w:val="71"/>
        </w:trPr>
        <w:tc>
          <w:tcPr>
            <w:tcW w:w="4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Smanjenje prihoda po osn.IN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0,00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-364.162,02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3.209,50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2.064,20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F333A8" w:rsidRPr="0007287C" w:rsidTr="006117AF">
        <w:trPr>
          <w:trHeight w:val="319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965.423,49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432.065,00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3A8" w:rsidRPr="0007287C" w:rsidRDefault="00F333A8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7287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3A8" w:rsidRPr="0007287C" w:rsidRDefault="00CD2700" w:rsidP="0007287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7287C" w:rsidRDefault="0007287C" w:rsidP="00D244D7">
      <w:pPr>
        <w:pStyle w:val="NoSpacing"/>
        <w:rPr>
          <w:rFonts w:asciiTheme="majorHAnsi" w:hAnsiTheme="majorHAnsi"/>
          <w:b/>
          <w:lang w:val="sr-Latn-CS"/>
        </w:rPr>
      </w:pPr>
    </w:p>
    <w:p w:rsidR="002C0460" w:rsidRDefault="002C0460" w:rsidP="005E587A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U strukturi  drugih poslovnih prihoda najveću stavku zauzimaju prihodi po osnovu regresa 36,48%,prihodi po osnovu zakupa,</w:t>
      </w:r>
      <w:r w:rsidR="008430E9">
        <w:rPr>
          <w:rFonts w:asciiTheme="majorHAnsi" w:hAnsiTheme="majorHAnsi"/>
          <w:lang w:val="sr-Latn-CS"/>
        </w:rPr>
        <w:t xml:space="preserve"> 39,91% i </w:t>
      </w:r>
      <w:r>
        <w:rPr>
          <w:rFonts w:asciiTheme="majorHAnsi" w:hAnsiTheme="majorHAnsi"/>
          <w:lang w:val="sr-Latn-CS"/>
        </w:rPr>
        <w:t xml:space="preserve">prihodi po osnovu zelene karte 20,21% </w:t>
      </w:r>
      <w:r w:rsidR="008430E9">
        <w:rPr>
          <w:rFonts w:asciiTheme="majorHAnsi" w:hAnsiTheme="majorHAnsi"/>
          <w:lang w:val="sr-Latn-CS"/>
        </w:rPr>
        <w:t>a u odnosu na prethodnu godinu veći su prihodi po osnovu provizije reosiguranja za 43%, prihodi po osnovu regresa 60% i prihodi po osnovu doplata po polisama 55%.</w:t>
      </w:r>
    </w:p>
    <w:p w:rsidR="008430E9" w:rsidRDefault="008430E9" w:rsidP="00C30476">
      <w:pPr>
        <w:pStyle w:val="NoSpacing"/>
        <w:tabs>
          <w:tab w:val="left" w:pos="5103"/>
          <w:tab w:val="left" w:pos="7088"/>
          <w:tab w:val="left" w:pos="8505"/>
          <w:tab w:val="left" w:pos="8647"/>
        </w:tabs>
        <w:ind w:right="333"/>
        <w:rPr>
          <w:rFonts w:asciiTheme="majorHAnsi" w:hAnsiTheme="majorHAnsi"/>
          <w:lang w:val="sr-Latn-CS"/>
        </w:rPr>
      </w:pPr>
    </w:p>
    <w:p w:rsidR="008430E9" w:rsidRDefault="008430E9" w:rsidP="00D244D7">
      <w:pPr>
        <w:pStyle w:val="NoSpacing"/>
        <w:rPr>
          <w:rFonts w:asciiTheme="majorHAnsi" w:hAnsiTheme="majorHAnsi"/>
          <w:lang w:val="sr-Latn-CS"/>
        </w:rPr>
      </w:pPr>
      <w:r w:rsidRPr="0052266E">
        <w:rPr>
          <w:rFonts w:asciiTheme="majorHAnsi" w:hAnsiTheme="majorHAnsi"/>
          <w:b/>
          <w:u w:val="single"/>
          <w:lang w:val="sr-Latn-CS"/>
        </w:rPr>
        <w:t xml:space="preserve">NOTA 31(AOP </w:t>
      </w:r>
      <w:r w:rsidR="0052266E" w:rsidRPr="0052266E">
        <w:rPr>
          <w:rFonts w:asciiTheme="majorHAnsi" w:hAnsiTheme="majorHAnsi"/>
          <w:b/>
          <w:u w:val="single"/>
          <w:lang w:val="sr-Latn-CS"/>
        </w:rPr>
        <w:t>215</w:t>
      </w:r>
      <w:r w:rsidR="0052266E">
        <w:rPr>
          <w:rFonts w:asciiTheme="majorHAnsi" w:hAnsiTheme="majorHAnsi"/>
          <w:lang w:val="sr-Latn-CS"/>
        </w:rPr>
        <w:t>)</w:t>
      </w:r>
    </w:p>
    <w:p w:rsidR="005978CF" w:rsidRDefault="0052266E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  <w:r w:rsidRPr="0052266E">
        <w:rPr>
          <w:rFonts w:asciiTheme="majorHAnsi" w:hAnsiTheme="majorHAnsi"/>
          <w:b/>
          <w:lang w:val="sr-Latn-CS"/>
        </w:rPr>
        <w:t>Funkcionalni doprinosi</w:t>
      </w:r>
    </w:p>
    <w:p w:rsidR="0027651C" w:rsidRDefault="0027651C" w:rsidP="00C30476">
      <w:pPr>
        <w:pStyle w:val="NoSpacing"/>
        <w:tabs>
          <w:tab w:val="left" w:pos="5103"/>
          <w:tab w:val="left" w:pos="8505"/>
        </w:tabs>
        <w:rPr>
          <w:rFonts w:asciiTheme="majorHAnsi" w:hAnsiTheme="majorHAnsi"/>
          <w:b/>
          <w:lang w:val="sr-Latn-CS"/>
        </w:rPr>
      </w:pPr>
    </w:p>
    <w:p w:rsidR="005978CF" w:rsidRDefault="0052266E" w:rsidP="00D244D7">
      <w:pPr>
        <w:pStyle w:val="NoSpacing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Funkcionalni doprinosi po vrsti i iznosu:</w:t>
      </w:r>
    </w:p>
    <w:tbl>
      <w:tblPr>
        <w:tblW w:w="9191" w:type="dxa"/>
        <w:tblInd w:w="93" w:type="dxa"/>
        <w:tblLook w:val="04A0"/>
      </w:tblPr>
      <w:tblGrid>
        <w:gridCol w:w="3073"/>
        <w:gridCol w:w="835"/>
        <w:gridCol w:w="835"/>
        <w:gridCol w:w="539"/>
        <w:gridCol w:w="1458"/>
        <w:gridCol w:w="1528"/>
        <w:gridCol w:w="923"/>
      </w:tblGrid>
      <w:tr w:rsidR="005978CF" w:rsidRPr="005978CF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5978CF" w:rsidRPr="005978CF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 xml:space="preserve">Doprinos za preventivu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18.729,16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17.841,30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5978CF" w:rsidRPr="005978CF" w:rsidTr="006117AF">
        <w:trPr>
          <w:trHeight w:val="295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Vatrogasni doprinos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6.325,26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5.967,94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5978CF" w:rsidRPr="005978CF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Doprinos Zaštitnom fondu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193.150,56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158.040,12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5978CF" w:rsidRPr="005978CF" w:rsidTr="006117AF">
        <w:trPr>
          <w:trHeight w:val="295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Doprinos za naknadu šteta BZK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23.760,00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23.420,00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5978CF" w:rsidRPr="005978CF" w:rsidTr="006117AF">
        <w:trPr>
          <w:trHeight w:val="295"/>
        </w:trPr>
        <w:tc>
          <w:tcPr>
            <w:tcW w:w="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Dodatna sredstva preventive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29.292,58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978CF" w:rsidRPr="005978CF" w:rsidTr="006117AF">
        <w:trPr>
          <w:trHeight w:val="281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Protivgradna zaštita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39.267,00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30.227,46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5978CF" w:rsidRPr="005978CF" w:rsidTr="006117AF">
        <w:trPr>
          <w:trHeight w:val="281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lastRenderedPageBreak/>
              <w:t>Ukupno: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310.524,56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235.496,82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8CF" w:rsidRPr="005978CF" w:rsidRDefault="005978CF" w:rsidP="005978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978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132</w:t>
            </w:r>
          </w:p>
        </w:tc>
      </w:tr>
    </w:tbl>
    <w:p w:rsidR="007C6E8A" w:rsidRDefault="007C6E8A" w:rsidP="007C6E8A">
      <w:pPr>
        <w:pStyle w:val="NoSpacing"/>
      </w:pPr>
      <w:r>
        <w:rPr>
          <w:rFonts w:asciiTheme="majorHAnsi" w:hAnsiTheme="majorHAnsi"/>
          <w:lang w:val="sr-Latn-CS"/>
        </w:rPr>
        <w:t xml:space="preserve"> </w:t>
      </w:r>
    </w:p>
    <w:p w:rsidR="0052266E" w:rsidRDefault="00357B46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52266E" w:rsidRPr="007C6E8A">
        <w:rPr>
          <w:rFonts w:asciiTheme="majorHAnsi" w:hAnsiTheme="majorHAnsi"/>
        </w:rPr>
        <w:t>Doprinos za preventivu je formiran prema Odluci o raspodjeli bruto premije sa maksimalnim stopama režijskog dodatka.</w:t>
      </w:r>
    </w:p>
    <w:p w:rsidR="007C6E8A" w:rsidRDefault="00357B46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7C6E8A">
        <w:rPr>
          <w:rFonts w:asciiTheme="majorHAnsi" w:hAnsiTheme="majorHAnsi"/>
        </w:rPr>
        <w:t>Doprinos zaštitnom fondu je knjižen po osnovu rešenja Zaštitnog fonda RS</w:t>
      </w:r>
      <w:r>
        <w:rPr>
          <w:rFonts w:asciiTheme="majorHAnsi" w:hAnsiTheme="majorHAnsi"/>
        </w:rPr>
        <w:t>.</w:t>
      </w:r>
      <w:r w:rsidR="007C6E8A">
        <w:rPr>
          <w:rFonts w:asciiTheme="majorHAnsi" w:hAnsiTheme="majorHAnsi"/>
        </w:rPr>
        <w:t xml:space="preserve"> </w:t>
      </w:r>
    </w:p>
    <w:p w:rsidR="007C6E8A" w:rsidRDefault="00357B46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7C6E8A">
        <w:rPr>
          <w:rFonts w:asciiTheme="majorHAnsi" w:hAnsiTheme="majorHAnsi"/>
        </w:rPr>
        <w:t>Vatrogasni  doprinos i protivgradna zaštita su formirani po posebnim propisima poreskih organa.</w:t>
      </w:r>
    </w:p>
    <w:p w:rsidR="007C6E8A" w:rsidRDefault="00357B46" w:rsidP="005E587A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7C6E8A">
        <w:rPr>
          <w:rFonts w:asciiTheme="majorHAnsi" w:hAnsiTheme="majorHAnsi"/>
        </w:rPr>
        <w:t>Po osnovu zakona o obaveznim osiguranjima u saobraćaju u 2015.g.su izdvojena sredstva kao dio preventive za realizaciju projekta unapređenja bezbjednosti saobraćaja u iznosu od 29.292,58KM.</w:t>
      </w:r>
    </w:p>
    <w:p w:rsidR="007C6E8A" w:rsidRPr="007C6E8A" w:rsidRDefault="00357B46" w:rsidP="005E587A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</w:t>
      </w:r>
      <w:r w:rsidR="007C6E8A">
        <w:rPr>
          <w:rFonts w:asciiTheme="majorHAnsi" w:hAnsiTheme="majorHAnsi"/>
        </w:rPr>
        <w:t>Sredstav su formirana kao kvartalna obaveza 1%,na premiju autoodgovornosti.</w:t>
      </w:r>
    </w:p>
    <w:p w:rsidR="007C6E8A" w:rsidRPr="007C6E8A" w:rsidRDefault="007C6E8A" w:rsidP="009E45F9">
      <w:pPr>
        <w:pStyle w:val="NoSpacing"/>
        <w:spacing w:line="276" w:lineRule="auto"/>
      </w:pPr>
    </w:p>
    <w:p w:rsidR="000A02E5" w:rsidRDefault="009F7279" w:rsidP="007C6E8A">
      <w:pPr>
        <w:pStyle w:val="NoSpacing"/>
        <w:rPr>
          <w:b/>
          <w:u w:val="single"/>
        </w:rPr>
      </w:pPr>
      <w:r w:rsidRPr="00857502">
        <w:rPr>
          <w:rFonts w:asciiTheme="majorHAnsi" w:hAnsiTheme="majorHAnsi"/>
          <w:b/>
          <w:u w:val="single"/>
        </w:rPr>
        <w:t>NOTA 32(AOP</w:t>
      </w:r>
      <w:r w:rsidR="00DE280E" w:rsidRPr="00857502">
        <w:rPr>
          <w:rFonts w:asciiTheme="majorHAnsi" w:hAnsiTheme="majorHAnsi"/>
          <w:b/>
          <w:u w:val="single"/>
        </w:rPr>
        <w:t>230</w:t>
      </w:r>
      <w:r w:rsidR="00DE280E" w:rsidRPr="00DE280E">
        <w:rPr>
          <w:b/>
          <w:u w:val="single"/>
        </w:rPr>
        <w:t>)</w:t>
      </w:r>
    </w:p>
    <w:p w:rsidR="00DE280E" w:rsidRPr="00BB340D" w:rsidRDefault="00DE280E" w:rsidP="007C6E8A">
      <w:pPr>
        <w:pStyle w:val="NoSpacing"/>
        <w:rPr>
          <w:rFonts w:asciiTheme="majorHAnsi" w:hAnsiTheme="majorHAnsi"/>
          <w:b/>
        </w:rPr>
      </w:pPr>
      <w:r w:rsidRPr="00BB340D">
        <w:rPr>
          <w:rFonts w:asciiTheme="majorHAnsi" w:hAnsiTheme="majorHAnsi"/>
          <w:b/>
        </w:rPr>
        <w:t>Troškovi  šteta</w:t>
      </w:r>
    </w:p>
    <w:p w:rsidR="000A02E5" w:rsidRPr="00BB340D" w:rsidRDefault="000A02E5" w:rsidP="007C6E8A">
      <w:pPr>
        <w:pStyle w:val="NoSpacing"/>
        <w:rPr>
          <w:rFonts w:asciiTheme="majorHAnsi" w:hAnsiTheme="majorHAnsi"/>
        </w:rPr>
      </w:pPr>
    </w:p>
    <w:tbl>
      <w:tblPr>
        <w:tblW w:w="9191" w:type="dxa"/>
        <w:tblInd w:w="93" w:type="dxa"/>
        <w:tblLook w:val="04A0"/>
      </w:tblPr>
      <w:tblGrid>
        <w:gridCol w:w="3417"/>
        <w:gridCol w:w="869"/>
        <w:gridCol w:w="407"/>
        <w:gridCol w:w="265"/>
        <w:gridCol w:w="1519"/>
        <w:gridCol w:w="1592"/>
        <w:gridCol w:w="1122"/>
      </w:tblGrid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2015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Štete po osnovu nezgode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45.897,70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27.564,80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ind w:right="-1050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Štete po osn.putničkog zdrav.osig.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20.974,25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18.207,64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C30476" w:rsidRPr="00C30476" w:rsidTr="00C30476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Štete po osnovu kaska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522.328,09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502.987,88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C30476" w:rsidRPr="00C30476" w:rsidTr="00C30476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Štete po osnovu AO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2.818.619,16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3.001.889,45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54159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Rentne štete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14.778,42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15.923,74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093</w:t>
            </w:r>
          </w:p>
        </w:tc>
      </w:tr>
      <w:tr w:rsidR="00C30476" w:rsidRPr="00C30476" w:rsidTr="00C30476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Štete po osnovu im.transport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74.520,57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18.749,21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397</w:t>
            </w:r>
          </w:p>
        </w:tc>
      </w:tr>
      <w:tr w:rsidR="00C30476" w:rsidRPr="00C30476" w:rsidTr="00C30476">
        <w:trPr>
          <w:trHeight w:val="300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Štete po osnovu osig im.ostalo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3.457,45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13.443,59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025</w:t>
            </w:r>
          </w:p>
        </w:tc>
      </w:tr>
      <w:tr w:rsidR="00C30476" w:rsidRPr="00C30476" w:rsidTr="00C30476">
        <w:trPr>
          <w:trHeight w:val="31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Štete imovina požar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27.128,24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122.359,97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022</w:t>
            </w:r>
          </w:p>
        </w:tc>
      </w:tr>
      <w:tr w:rsidR="00C30476" w:rsidRPr="00C30476" w:rsidTr="00C30476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Troškovi likvidacije šteta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22.486,97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21.736,35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C30476" w:rsidRPr="00C30476" w:rsidTr="00C30476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503CE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3.550.</w:t>
            </w:r>
            <w:r w:rsidR="00503CE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190,85</w:t>
            </w: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C30476" w:rsidP="00C30476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3047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3.742.862,63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476" w:rsidRPr="00C30476" w:rsidRDefault="0054159B" w:rsidP="00C3047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094</w:t>
            </w:r>
          </w:p>
        </w:tc>
      </w:tr>
    </w:tbl>
    <w:p w:rsidR="00DE280E" w:rsidRDefault="00DE280E" w:rsidP="00C30476">
      <w:pPr>
        <w:pStyle w:val="NoSpacing"/>
        <w:tabs>
          <w:tab w:val="left" w:pos="5245"/>
        </w:tabs>
      </w:pPr>
    </w:p>
    <w:p w:rsidR="00920885" w:rsidRDefault="00351712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20885" w:rsidRPr="00920885">
        <w:rPr>
          <w:rFonts w:asciiTheme="majorHAnsi" w:hAnsiTheme="majorHAnsi"/>
        </w:rPr>
        <w:t xml:space="preserve">Trškovi šteta </w:t>
      </w:r>
      <w:r w:rsidR="00920885">
        <w:rPr>
          <w:rFonts w:asciiTheme="majorHAnsi" w:hAnsiTheme="majorHAnsi"/>
        </w:rPr>
        <w:t xml:space="preserve"> u iznosu od 3.550.190,85KM </w:t>
      </w:r>
      <w:r w:rsidR="00920885" w:rsidRPr="00920885">
        <w:rPr>
          <w:rFonts w:asciiTheme="majorHAnsi" w:hAnsiTheme="majorHAnsi"/>
        </w:rPr>
        <w:t>su manji u odnosu na pred</w:t>
      </w:r>
      <w:r w:rsidR="00EF1890">
        <w:rPr>
          <w:rFonts w:asciiTheme="majorHAnsi" w:hAnsiTheme="majorHAnsi"/>
        </w:rPr>
        <w:t>h</w:t>
      </w:r>
      <w:r w:rsidR="00920885" w:rsidRPr="00920885">
        <w:rPr>
          <w:rFonts w:asciiTheme="majorHAnsi" w:hAnsiTheme="majorHAnsi"/>
        </w:rPr>
        <w:t>odnu godinu za 6%</w:t>
      </w:r>
      <w:r w:rsidR="00920885">
        <w:rPr>
          <w:rFonts w:asciiTheme="majorHAnsi" w:hAnsiTheme="majorHAnsi"/>
        </w:rPr>
        <w:t>.</w:t>
      </w:r>
    </w:p>
    <w:p w:rsidR="008C4931" w:rsidRDefault="008C4931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toku godine je </w:t>
      </w:r>
      <w:r w:rsidR="00351712">
        <w:rPr>
          <w:rFonts w:asciiTheme="majorHAnsi" w:hAnsiTheme="majorHAnsi"/>
        </w:rPr>
        <w:t xml:space="preserve">prijavljeno 1745 šteta,od čega 305 šteta iz rezervacije ,1379 je </w:t>
      </w:r>
      <w:r w:rsidR="00EF1890">
        <w:rPr>
          <w:rFonts w:asciiTheme="majorHAnsi" w:hAnsiTheme="majorHAnsi"/>
        </w:rPr>
        <w:t xml:space="preserve">prijavljeno </w:t>
      </w:r>
      <w:r w:rsidR="00351712">
        <w:rPr>
          <w:rFonts w:asciiTheme="majorHAnsi" w:hAnsiTheme="majorHAnsi"/>
        </w:rPr>
        <w:t>prvi put šteta,</w:t>
      </w:r>
      <w:r w:rsidR="00EF1890">
        <w:rPr>
          <w:rFonts w:asciiTheme="majorHAnsi" w:hAnsiTheme="majorHAnsi"/>
        </w:rPr>
        <w:t xml:space="preserve"> </w:t>
      </w:r>
      <w:r w:rsidR="00351712">
        <w:rPr>
          <w:rFonts w:asciiTheme="majorHAnsi" w:hAnsiTheme="majorHAnsi"/>
        </w:rPr>
        <w:t>a 61 je reaktivirana šteta.</w:t>
      </w:r>
    </w:p>
    <w:p w:rsidR="00351712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51712">
        <w:rPr>
          <w:rFonts w:asciiTheme="majorHAnsi" w:hAnsiTheme="majorHAnsi"/>
        </w:rPr>
        <w:t xml:space="preserve"> U redovnom postupku je riješeno 1231 štete,49 šteta iz spora,tako da je ukupno riješeno 1280 šteta a odbijeno je 154 štete. Na kraju perioda je rezervisano 311 šteta.</w:t>
      </w:r>
    </w:p>
    <w:p w:rsidR="00EF1890" w:rsidRDefault="00EF1890" w:rsidP="005E587A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 strukturi šteta najveće učešće imaju štete po osnovu autoodgovornosti 79,39%</w:t>
      </w:r>
      <w:r w:rsidR="00F26495">
        <w:rPr>
          <w:rFonts w:asciiTheme="majorHAnsi" w:hAnsiTheme="majorHAnsi"/>
        </w:rPr>
        <w:t xml:space="preserve"> </w:t>
      </w:r>
      <w:r w:rsidR="00160BF0">
        <w:rPr>
          <w:rFonts w:asciiTheme="majorHAnsi" w:hAnsiTheme="majorHAnsi"/>
        </w:rPr>
        <w:t>i</w:t>
      </w:r>
      <w:r w:rsidR="00F2649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kaska </w:t>
      </w:r>
      <w:r w:rsidR="00260806">
        <w:rPr>
          <w:rFonts w:asciiTheme="majorHAnsi" w:hAnsiTheme="majorHAnsi"/>
        </w:rPr>
        <w:t>14,71</w:t>
      </w:r>
      <w:r>
        <w:rPr>
          <w:rFonts w:asciiTheme="majorHAnsi" w:hAnsiTheme="majorHAnsi"/>
        </w:rPr>
        <w:t>%</w:t>
      </w:r>
      <w:r w:rsidR="00F26495">
        <w:rPr>
          <w:rFonts w:asciiTheme="majorHAnsi" w:hAnsiTheme="majorHAnsi"/>
        </w:rPr>
        <w:t>.</w:t>
      </w:r>
    </w:p>
    <w:p w:rsidR="00F26495" w:rsidRDefault="00F26495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0940DA" w:rsidRDefault="000940DA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Stepen efikasnosti u rješavanju šteta je 1434/1745 je 82,17%.</w:t>
      </w:r>
    </w:p>
    <w:p w:rsidR="00426473" w:rsidRDefault="00426473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Stepen efikasnosti u plaćanju šteta </w:t>
      </w:r>
      <w:r w:rsidR="0051544E">
        <w:rPr>
          <w:rFonts w:asciiTheme="majorHAnsi" w:hAnsiTheme="majorHAnsi"/>
        </w:rPr>
        <w:t xml:space="preserve">je </w:t>
      </w:r>
      <w:r>
        <w:rPr>
          <w:rFonts w:asciiTheme="majorHAnsi" w:hAnsiTheme="majorHAnsi"/>
        </w:rPr>
        <w:t>100%.</w:t>
      </w:r>
    </w:p>
    <w:p w:rsidR="00F26495" w:rsidRDefault="00F26495" w:rsidP="00C30476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26495" w:rsidRP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631DC1">
        <w:rPr>
          <w:rFonts w:asciiTheme="majorHAnsi" w:hAnsiTheme="majorHAnsi"/>
          <w:b/>
          <w:u w:val="single"/>
        </w:rPr>
        <w:t>NOTA 33(AOP 231)</w:t>
      </w:r>
    </w:p>
    <w:p w:rsidR="00631DC1" w:rsidRDefault="00631DC1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631DC1">
        <w:rPr>
          <w:rFonts w:asciiTheme="majorHAnsi" w:hAnsiTheme="majorHAnsi"/>
          <w:b/>
        </w:rPr>
        <w:t>Rashodi po osnovu premije reosiguranja</w:t>
      </w:r>
    </w:p>
    <w:p w:rsidR="0012355C" w:rsidRPr="00631DC1" w:rsidRDefault="0012355C" w:rsidP="00C30476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31" w:type="dxa"/>
        <w:tblInd w:w="93" w:type="dxa"/>
        <w:tblLook w:val="04A0"/>
      </w:tblPr>
      <w:tblGrid>
        <w:gridCol w:w="2756"/>
        <w:gridCol w:w="902"/>
        <w:gridCol w:w="640"/>
        <w:gridCol w:w="1373"/>
        <w:gridCol w:w="1281"/>
        <w:gridCol w:w="1281"/>
        <w:gridCol w:w="1128"/>
      </w:tblGrid>
      <w:tr w:rsidR="0012355C" w:rsidRPr="0012355C" w:rsidTr="0012355C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Po komitentu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12355C" w:rsidRPr="0012355C" w:rsidTr="0012355C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Rashodi reosiguranja sa BZK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256.626,20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245.034,25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12355C" w:rsidRPr="0012355C" w:rsidTr="00160BF0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Rashodi reosigu.sa Bosna 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206.331,53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182.314,25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12355C" w:rsidRPr="0012355C" w:rsidTr="00160BF0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Ukupni rashodi reosiguranja: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462.957,73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427.348,50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12355C" w:rsidRPr="0012355C" w:rsidTr="00A73A6E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lastRenderedPageBreak/>
              <w:t>Prenosna premija reosiguranj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sz w:val="20"/>
                <w:szCs w:val="20"/>
              </w:rPr>
              <w:t>-7.267,76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sz w:val="20"/>
                <w:szCs w:val="20"/>
              </w:rPr>
              <w:t>-17.951,92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2355C" w:rsidRPr="0012355C" w:rsidTr="0012355C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455.689,97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</w:rPr>
              <w:t>409.396,58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55C" w:rsidRPr="0012355C" w:rsidRDefault="0012355C" w:rsidP="0012355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35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111</w:t>
            </w:r>
          </w:p>
        </w:tc>
      </w:tr>
    </w:tbl>
    <w:p w:rsidR="00631DC1" w:rsidRDefault="00631DC1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</w:p>
    <w:p w:rsidR="00C404A7" w:rsidRDefault="008A184D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C404A7" w:rsidRPr="00C404A7">
        <w:rPr>
          <w:rFonts w:asciiTheme="majorHAnsi" w:hAnsiTheme="majorHAnsi"/>
        </w:rPr>
        <w:t>Za o</w:t>
      </w:r>
      <w:r w:rsidR="00C404A7">
        <w:rPr>
          <w:rFonts w:asciiTheme="majorHAnsi" w:hAnsiTheme="majorHAnsi"/>
        </w:rPr>
        <w:t>bračunski period 31.12.2015.g.u skladu sa Pravilnikom o tehničkim rezervama je utvrđena prenosna premija reosiguranja,tako da su troškovi reosiguranja umanjeni za 7.267,76KM.</w:t>
      </w:r>
    </w:p>
    <w:p w:rsidR="008A184D" w:rsidRDefault="008A184D" w:rsidP="005E587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U odnosu na predhodnu godinu rashodi reosiguranja su veći za 11%.</w:t>
      </w:r>
    </w:p>
    <w:p w:rsidR="002A4946" w:rsidRDefault="002A4946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2A4946" w:rsidRPr="002A4946" w:rsidRDefault="002A4946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2A4946">
        <w:rPr>
          <w:rFonts w:asciiTheme="majorHAnsi" w:hAnsiTheme="majorHAnsi"/>
          <w:b/>
          <w:u w:val="single"/>
        </w:rPr>
        <w:t>NOTA 34(AOP 232)</w:t>
      </w:r>
    </w:p>
    <w:p w:rsidR="002A4946" w:rsidRDefault="002A4946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2A4946">
        <w:rPr>
          <w:rFonts w:asciiTheme="majorHAnsi" w:hAnsiTheme="majorHAnsi"/>
          <w:b/>
        </w:rPr>
        <w:t>Troškovi rezervacije šteta</w:t>
      </w:r>
    </w:p>
    <w:p w:rsidR="0027651C" w:rsidRDefault="0027651C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2A7CC1" w:rsidRDefault="00B5329E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B5329E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Rezervacija šteta je urađena prema Pravilniku o rezervacijama šteta.</w:t>
      </w:r>
    </w:p>
    <w:p w:rsidR="00B5329E" w:rsidRDefault="00B5329E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B5329E" w:rsidRDefault="00F7134F" w:rsidP="001818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70584">
        <w:rPr>
          <w:rFonts w:asciiTheme="majorHAnsi" w:hAnsiTheme="majorHAnsi"/>
        </w:rPr>
        <w:t xml:space="preserve">   </w:t>
      </w:r>
      <w:r w:rsidR="00B5329E">
        <w:rPr>
          <w:rFonts w:asciiTheme="majorHAnsi" w:hAnsiTheme="majorHAnsi"/>
        </w:rPr>
        <w:t xml:space="preserve">U iznosu razlike rezervacija šteta na početku i na kraju obračunskog perioda terećeni su </w:t>
      </w:r>
      <w:r w:rsidR="001818F9">
        <w:rPr>
          <w:rFonts w:asciiTheme="majorHAnsi" w:hAnsiTheme="majorHAnsi"/>
        </w:rPr>
        <w:t xml:space="preserve"> </w:t>
      </w:r>
      <w:r w:rsidR="00B5329E">
        <w:rPr>
          <w:rFonts w:asciiTheme="majorHAnsi" w:hAnsiTheme="majorHAnsi"/>
        </w:rPr>
        <w:t>poslovni rashodi po osnovu rezervacija šteta u iznosu od 594.420,94KM.</w:t>
      </w:r>
    </w:p>
    <w:p w:rsidR="00B5329E" w:rsidRDefault="00B5329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598" w:type="dxa"/>
        <w:tblInd w:w="93" w:type="dxa"/>
        <w:tblLook w:val="04A0"/>
      </w:tblPr>
      <w:tblGrid>
        <w:gridCol w:w="2721"/>
        <w:gridCol w:w="884"/>
        <w:gridCol w:w="630"/>
        <w:gridCol w:w="1343"/>
        <w:gridCol w:w="1393"/>
        <w:gridCol w:w="1393"/>
        <w:gridCol w:w="1234"/>
      </w:tblGrid>
      <w:tr w:rsidR="002A7CC1" w:rsidRPr="002A7CC1" w:rsidTr="00B5329E">
        <w:trPr>
          <w:trHeight w:val="319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Vrsta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Razlika</w:t>
            </w:r>
          </w:p>
        </w:tc>
      </w:tr>
      <w:tr w:rsidR="002A7CC1" w:rsidRPr="002A7CC1" w:rsidTr="00B5329E">
        <w:trPr>
          <w:trHeight w:val="319"/>
        </w:trPr>
        <w:tc>
          <w:tcPr>
            <w:tcW w:w="5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Rezervacija po osnovu nezgod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40.605,61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37.683,21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2.922,40 </w:t>
            </w:r>
          </w:p>
        </w:tc>
      </w:tr>
      <w:tr w:rsidR="002A7CC1" w:rsidRPr="002A7CC1" w:rsidTr="00B5329E">
        <w:trPr>
          <w:trHeight w:val="319"/>
        </w:trPr>
        <w:tc>
          <w:tcPr>
            <w:tcW w:w="42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Rezervacija po osnovu PZO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1.898,16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17.587,88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-15.689,72 </w:t>
            </w:r>
          </w:p>
        </w:tc>
      </w:tr>
      <w:tr w:rsidR="002A7CC1" w:rsidRPr="002A7CC1" w:rsidTr="00B5329E">
        <w:trPr>
          <w:trHeight w:val="319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Rezervacija  po osnovu kaska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405.084,68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392.569,33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12.515,35 </w:t>
            </w:r>
          </w:p>
        </w:tc>
      </w:tr>
      <w:tr w:rsidR="002A7CC1" w:rsidRPr="002A7CC1" w:rsidTr="00B5329E">
        <w:trPr>
          <w:trHeight w:val="304"/>
        </w:trPr>
        <w:tc>
          <w:tcPr>
            <w:tcW w:w="360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Rezervacija AO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7.007.027,26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6.308.249,19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698.778,07 </w:t>
            </w:r>
          </w:p>
        </w:tc>
      </w:tr>
      <w:tr w:rsidR="002A7CC1" w:rsidRPr="002A7CC1" w:rsidTr="00B5329E">
        <w:trPr>
          <w:trHeight w:val="304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Rezervacija po osnovu im</w:t>
            </w:r>
            <w:r>
              <w:rPr>
                <w:rFonts w:ascii="Cambria" w:eastAsia="Times New Roman" w:hAnsi="Cambria" w:cs="Times New Roman"/>
                <w:color w:val="000000"/>
              </w:rPr>
              <w:t>ovin</w:t>
            </w:r>
            <w:r w:rsidR="00B5329E">
              <w:rPr>
                <w:rFonts w:ascii="Cambria" w:eastAsia="Times New Roman" w:hAnsi="Cambria" w:cs="Times New Roman"/>
                <w:color w:val="000000"/>
              </w:rPr>
              <w:t>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29.489,65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133.594,81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-104.105,16 </w:t>
            </w:r>
          </w:p>
        </w:tc>
      </w:tr>
      <w:tr w:rsidR="002A7CC1" w:rsidRPr="002A7CC1" w:rsidTr="00B5329E">
        <w:trPr>
          <w:trHeight w:val="304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7.484.105,36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6.889.684,42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C1" w:rsidRPr="002A7CC1" w:rsidRDefault="002A7CC1" w:rsidP="002A7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2A7CC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594.420,94 </w:t>
            </w:r>
          </w:p>
        </w:tc>
      </w:tr>
    </w:tbl>
    <w:p w:rsidR="002A7CC1" w:rsidRDefault="002A7CC1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9D529F" w:rsidRDefault="00170584" w:rsidP="001818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B5329E" w:rsidRPr="00B5329E">
        <w:rPr>
          <w:rFonts w:asciiTheme="majorHAnsi" w:hAnsiTheme="majorHAnsi"/>
        </w:rPr>
        <w:t>Re</w:t>
      </w:r>
      <w:r w:rsidR="00B5329E">
        <w:rPr>
          <w:rFonts w:asciiTheme="majorHAnsi" w:hAnsiTheme="majorHAnsi"/>
        </w:rPr>
        <w:t>zervacija šteta se sastoji iz rezervacije prijavljenih šteta u iznosu od 4.376.695,19KM i nastalih ne prijavljenih šteta u iznosu od 3.107.410,17KM,tako da je ukupna rezervacija 7.484.105,36KM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B5329E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  <w:b/>
          <w:u w:val="single"/>
        </w:rPr>
        <w:t>NOTA 35(AOP233</w:t>
      </w:r>
      <w:r>
        <w:rPr>
          <w:rFonts w:asciiTheme="majorHAnsi" w:hAnsiTheme="majorHAnsi"/>
        </w:rPr>
        <w:t>)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9D529F">
        <w:rPr>
          <w:rFonts w:asciiTheme="majorHAnsi" w:hAnsiTheme="majorHAnsi"/>
          <w:b/>
        </w:rPr>
        <w:t>Troškovi sprovođenja osiguranja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9D529F" w:rsidRDefault="009D529F" w:rsidP="001818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9D529F">
        <w:rPr>
          <w:rFonts w:asciiTheme="majorHAnsi" w:hAnsiTheme="majorHAnsi"/>
        </w:rPr>
        <w:t>Troškovi</w:t>
      </w:r>
      <w:r>
        <w:rPr>
          <w:rFonts w:asciiTheme="majorHAnsi" w:hAnsiTheme="majorHAnsi"/>
        </w:rPr>
        <w:t xml:space="preserve"> </w:t>
      </w:r>
      <w:r w:rsidRPr="009D529F">
        <w:rPr>
          <w:rFonts w:asciiTheme="majorHAnsi" w:hAnsiTheme="majorHAnsi"/>
        </w:rPr>
        <w:t xml:space="preserve">sprovođenja osiguranja </w:t>
      </w:r>
      <w:r>
        <w:rPr>
          <w:rFonts w:asciiTheme="majorHAnsi" w:hAnsiTheme="majorHAnsi"/>
        </w:rPr>
        <w:t>su ograničeni iznosom režijskog dodatka.Režijski dodatak kao okvir za visinu troškova sprovođenja osiguranja je utvrđen u skladu sa Odlukom o raspodjeli bruto premije sa maksimalnim stopama režijskog dodataka.Ostvareni režijski dodatak u 2015.g.iznosi:</w:t>
      </w:r>
    </w:p>
    <w:p w:rsidR="009D529F" w:rsidRDefault="009D529F" w:rsidP="001818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Režijski dodatak                                         4.566.946,02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Troškovi sprovođenja osiguranja        </w:t>
      </w:r>
      <w:r w:rsidRPr="009D529F">
        <w:rPr>
          <w:rFonts w:asciiTheme="majorHAnsi" w:hAnsiTheme="majorHAnsi"/>
          <w:u w:val="single"/>
        </w:rPr>
        <w:t>-2.856.760,70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9D529F">
        <w:rPr>
          <w:rFonts w:asciiTheme="majorHAnsi" w:hAnsiTheme="majorHAnsi"/>
        </w:rPr>
        <w:t xml:space="preserve">                                                                         1.700.185,32</w:t>
      </w:r>
    </w:p>
    <w:p w:rsidR="009D529F" w:rsidRDefault="009D529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9D529F" w:rsidRDefault="008D072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9D529F">
        <w:rPr>
          <w:rFonts w:asciiTheme="majorHAnsi" w:hAnsiTheme="majorHAnsi"/>
        </w:rPr>
        <w:t xml:space="preserve">Troškovi režije u odnosu na režijski dodatak </w:t>
      </w:r>
      <w:r w:rsidR="003A007B">
        <w:rPr>
          <w:rFonts w:asciiTheme="majorHAnsi" w:hAnsiTheme="majorHAnsi"/>
        </w:rPr>
        <w:t xml:space="preserve">učestvuju sa 62,55%,a u odnosu na fakturisanu premiju </w:t>
      </w:r>
      <w:r>
        <w:rPr>
          <w:rFonts w:asciiTheme="majorHAnsi" w:hAnsiTheme="majorHAnsi"/>
        </w:rPr>
        <w:t xml:space="preserve"> troškovi sprovođenja osiguranja </w:t>
      </w:r>
      <w:r w:rsidR="003A007B">
        <w:rPr>
          <w:rFonts w:asciiTheme="majorHAnsi" w:hAnsiTheme="majorHAnsi"/>
        </w:rPr>
        <w:t>učestvuju sa</w:t>
      </w:r>
      <w:r>
        <w:rPr>
          <w:rFonts w:asciiTheme="majorHAnsi" w:hAnsiTheme="majorHAnsi"/>
        </w:rPr>
        <w:t xml:space="preserve"> </w:t>
      </w:r>
      <w:r w:rsidR="003A007B">
        <w:rPr>
          <w:rFonts w:asciiTheme="majorHAnsi" w:hAnsiTheme="majorHAnsi"/>
        </w:rPr>
        <w:t>29,57%.</w:t>
      </w:r>
    </w:p>
    <w:p w:rsidR="007D2E42" w:rsidRDefault="007D2E42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9E45F9" w:rsidRDefault="009E45F9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9E45F9" w:rsidRDefault="009E45F9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BB340D" w:rsidRDefault="00BB340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BB340D" w:rsidRDefault="00BB340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9E45F9" w:rsidRDefault="009E45F9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A74696" w:rsidRPr="00093C79" w:rsidRDefault="00A74696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093C79">
        <w:rPr>
          <w:rFonts w:asciiTheme="majorHAnsi" w:hAnsiTheme="majorHAnsi"/>
          <w:b/>
        </w:rPr>
        <w:t>Troškovi režije po vrsti</w:t>
      </w:r>
    </w:p>
    <w:tbl>
      <w:tblPr>
        <w:tblW w:w="9128" w:type="dxa"/>
        <w:tblInd w:w="93" w:type="dxa"/>
        <w:tblLook w:val="04A0"/>
      </w:tblPr>
      <w:tblGrid>
        <w:gridCol w:w="977"/>
        <w:gridCol w:w="1276"/>
        <w:gridCol w:w="1590"/>
        <w:gridCol w:w="1336"/>
        <w:gridCol w:w="1336"/>
        <w:gridCol w:w="1289"/>
        <w:gridCol w:w="773"/>
        <w:gridCol w:w="275"/>
        <w:gridCol w:w="276"/>
      </w:tblGrid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7D2E42" w:rsidRDefault="007D2E42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7D2E42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A73A6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7D2E42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A73A6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E42" w:rsidRPr="00A73A6E" w:rsidRDefault="007D2E42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</w:pPr>
            <w:r w:rsidRPr="00A73A6E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E42" w:rsidRPr="00A74696" w:rsidRDefault="007D2E42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354.605,06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467.066,87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75,92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12,41</w:t>
            </w:r>
          </w:p>
        </w:tc>
      </w:tr>
      <w:tr w:rsidR="006117AF" w:rsidRPr="00A74696" w:rsidTr="006117AF">
        <w:trPr>
          <w:trHeight w:val="299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 rezervisanja za ben.zaposl.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8.040,26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093C79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0" w:type="auto"/>
          </w:tcPr>
          <w:p w:rsidR="00FB0CC5" w:rsidRPr="00A74696" w:rsidRDefault="00FB0CC5" w:rsidP="00093C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goriva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105.121,96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141.073,16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3,68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energije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189.729,45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149.432,53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126,97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6,64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Troškovi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grijanja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106.284,05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126.778,98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83,83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3,72</w:t>
            </w:r>
          </w:p>
        </w:tc>
      </w:tr>
      <w:tr w:rsidR="006117AF" w:rsidRPr="00A74696" w:rsidTr="006117AF">
        <w:trPr>
          <w:gridAfter w:val="1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23.790,50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36.136,68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65,83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1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materijala kancel.i nekancel.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91.698,33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80.293,87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114,20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provizija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16.767,60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11.052,72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151,71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0,59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reklame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7.070,99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11.046,45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64,01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0,25</w:t>
            </w:r>
          </w:p>
        </w:tc>
      </w:tr>
      <w:tr w:rsidR="006117AF" w:rsidRPr="00A74696" w:rsidTr="006117AF">
        <w:trPr>
          <w:gridAfter w:val="1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reprezentacije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34.311,95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38.012,25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osiguranja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13.651,03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15.071,65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90,57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0,48</w:t>
            </w:r>
          </w:p>
        </w:tc>
      </w:tr>
      <w:tr w:rsidR="006117AF" w:rsidRPr="00A74696" w:rsidTr="006117AF">
        <w:trPr>
          <w:gridAfter w:val="1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poreza i doprinosa-direktni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136.720,23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130.839,17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104,49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4,79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1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15.010,95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19.100,20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78,59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zakupa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61.314,58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65.128,91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94,14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2,15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telefona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112.973,58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122.698,68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92,07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3,95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usluga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121.023,43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127.952,64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94,58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4,24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36.285,00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34.928,00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103,89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1,27</w:t>
            </w:r>
          </w:p>
        </w:tc>
      </w:tr>
      <w:tr w:rsidR="006117AF" w:rsidRPr="00A74696" w:rsidTr="006117AF">
        <w:trPr>
          <w:gridAfter w:val="1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82.778,76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67.731,45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122,22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2,90</w:t>
            </w:r>
          </w:p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1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 fi.agencije ,obdusmen i ost.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159.639,56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148.787,98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107,29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CC5" w:rsidRPr="00A74696" w:rsidRDefault="00FB0CC5" w:rsidP="00093C7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A74696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0" w:type="auto"/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44.865,05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47.985,62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93,50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1,57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bruto plate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1.135.078,38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1.133.552,20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39,73</w:t>
            </w:r>
          </w:p>
        </w:tc>
      </w:tr>
      <w:tr w:rsidR="006117AF" w:rsidRPr="00A74696" w:rsidTr="006117AF">
        <w:trPr>
          <w:gridAfter w:val="2"/>
          <w:trHeight w:val="29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2.856.760,70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2.974.670,01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C5" w:rsidRPr="007D2E42" w:rsidRDefault="00FB0CC5" w:rsidP="007D2E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7D2E42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96,04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CC5" w:rsidRPr="00A74696" w:rsidRDefault="00FB0CC5" w:rsidP="00093C7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74696">
              <w:rPr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</w:tbl>
    <w:p w:rsidR="007D2E42" w:rsidRDefault="007D2E42" w:rsidP="00170584">
      <w:pPr>
        <w:pStyle w:val="NoSpacing"/>
        <w:tabs>
          <w:tab w:val="left" w:pos="5245"/>
        </w:tabs>
        <w:rPr>
          <w:rFonts w:asciiTheme="majorHAnsi" w:hAnsiTheme="majorHAnsi"/>
          <w:sz w:val="20"/>
          <w:szCs w:val="20"/>
        </w:rPr>
      </w:pPr>
    </w:p>
    <w:p w:rsidR="00D76B4C" w:rsidRDefault="00D76B4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76B4C">
        <w:rPr>
          <w:rFonts w:asciiTheme="majorHAnsi" w:hAnsiTheme="majorHAnsi"/>
        </w:rPr>
        <w:t>Troškovi režije u iznosu od 2.856.760,70KM su manji u odnosu na predhodnu godinu za 3,96%.</w:t>
      </w:r>
    </w:p>
    <w:p w:rsidR="00D76B4C" w:rsidRPr="00D76B4C" w:rsidRDefault="00D76B4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D76B4C" w:rsidRDefault="009B1D5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76B4C" w:rsidRPr="00D76B4C">
        <w:rPr>
          <w:rFonts w:asciiTheme="majorHAnsi" w:hAnsiTheme="majorHAnsi"/>
        </w:rPr>
        <w:t>U strukturi troškova značajno mjesto zauzimaju</w:t>
      </w:r>
      <w:r w:rsidR="00D76B4C">
        <w:rPr>
          <w:rFonts w:asciiTheme="majorHAnsi" w:hAnsiTheme="majorHAnsi"/>
        </w:rPr>
        <w:t xml:space="preserve"> troškovi plata zaposlenih 39,73%,amortizacije</w:t>
      </w:r>
    </w:p>
    <w:p w:rsidR="00D76B4C" w:rsidRDefault="00D76B4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12,41%,troškovi energije 6,64%,troškovi direktnih poreza 4,79% ,troškovi usluga 4,24%.</w:t>
      </w:r>
    </w:p>
    <w:p w:rsidR="009B1D57" w:rsidRDefault="009B1D5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Svi troškovi </w:t>
      </w:r>
      <w:r w:rsidR="002C7311">
        <w:rPr>
          <w:rFonts w:asciiTheme="majorHAnsi" w:hAnsiTheme="majorHAnsi"/>
        </w:rPr>
        <w:t xml:space="preserve">koji nisu regulisani posebnim propisima </w:t>
      </w:r>
      <w:r>
        <w:rPr>
          <w:rFonts w:asciiTheme="majorHAnsi" w:hAnsiTheme="majorHAnsi"/>
        </w:rPr>
        <w:t>u odnosu na predhodnu godinu uglavnom bilježe samanjenje.</w:t>
      </w: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  <w:r w:rsidRPr="008A0DED">
        <w:rPr>
          <w:rFonts w:asciiTheme="majorHAnsi" w:hAnsiTheme="majorHAnsi"/>
          <w:b/>
          <w:u w:val="single"/>
        </w:rPr>
        <w:t>NOTA  36(AOP 248</w:t>
      </w:r>
      <w:r>
        <w:rPr>
          <w:rFonts w:asciiTheme="majorHAnsi" w:hAnsiTheme="majorHAnsi"/>
        </w:rPr>
        <w:t>)</w:t>
      </w:r>
    </w:p>
    <w:p w:rsidR="008A0DED" w:rsidRDefault="008A0DED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A0DED">
        <w:rPr>
          <w:rFonts w:asciiTheme="majorHAnsi" w:hAnsiTheme="majorHAnsi"/>
          <w:b/>
        </w:rPr>
        <w:t>Finansijski prihodi</w:t>
      </w:r>
    </w:p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190" w:type="dxa"/>
        <w:tblInd w:w="93" w:type="dxa"/>
        <w:tblLook w:val="04A0"/>
      </w:tblPr>
      <w:tblGrid>
        <w:gridCol w:w="2390"/>
        <w:gridCol w:w="1040"/>
        <w:gridCol w:w="1520"/>
        <w:gridCol w:w="1380"/>
        <w:gridCol w:w="1300"/>
        <w:gridCol w:w="1560"/>
      </w:tblGrid>
      <w:tr w:rsidR="00CE5E8F" w:rsidRPr="00CE5E8F" w:rsidTr="00CE5E8F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CE5E8F" w:rsidRPr="00CE5E8F" w:rsidTr="00CE5E8F">
        <w:trPr>
          <w:trHeight w:val="30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Prihod od kamat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581.564,18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701.302,07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83</w:t>
            </w:r>
          </w:p>
        </w:tc>
      </w:tr>
      <w:tr w:rsidR="00CE5E8F" w:rsidRPr="00CE5E8F" w:rsidTr="00517FD8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Pozitivna kursna razlik</w:t>
            </w:r>
            <w:r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1.213,17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</w:tr>
      <w:tr w:rsidR="00CE5E8F" w:rsidRPr="00CE5E8F" w:rsidTr="00517FD8">
        <w:trPr>
          <w:trHeight w:val="30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Ostali 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>jski priho</w:t>
            </w:r>
            <w:r>
              <w:rPr>
                <w:rFonts w:ascii="Cambria" w:eastAsia="Times New Roman" w:hAnsi="Cambria" w:cs="Times New Roman"/>
                <w:color w:val="000000"/>
              </w:rPr>
              <w:t>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654,75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70</w:t>
            </w:r>
          </w:p>
        </w:tc>
      </w:tr>
      <w:tr w:rsidR="00CE5E8F" w:rsidRPr="00CE5E8F" w:rsidTr="00CE5E8F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582.104,58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703.169,99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8F" w:rsidRPr="00CE5E8F" w:rsidRDefault="00CE5E8F" w:rsidP="00CE5E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83</w:t>
            </w:r>
          </w:p>
        </w:tc>
      </w:tr>
    </w:tbl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CE5E8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DB6F81">
        <w:rPr>
          <w:rFonts w:asciiTheme="majorHAnsi" w:hAnsiTheme="majorHAnsi"/>
        </w:rPr>
        <w:t xml:space="preserve"> </w:t>
      </w:r>
      <w:r w:rsidR="00CE5E8F">
        <w:rPr>
          <w:rFonts w:asciiTheme="majorHAnsi" w:hAnsiTheme="majorHAnsi"/>
        </w:rPr>
        <w:t>Prihod od kamata u iznosu od 581.564,18KM kao finansijski prihodi se sastoje iz:</w:t>
      </w:r>
    </w:p>
    <w:p w:rsidR="00CE5E8F" w:rsidRPr="00972A19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972A19">
        <w:rPr>
          <w:rFonts w:asciiTheme="majorHAnsi" w:hAnsiTheme="majorHAnsi"/>
        </w:rPr>
        <w:t>prihod od kamata na pozitivno saldo na računu                              111,40</w:t>
      </w:r>
    </w:p>
    <w:p w:rsidR="00CE5E8F" w:rsidRPr="00972A19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972A19">
        <w:rPr>
          <w:rFonts w:asciiTheme="majorHAnsi" w:hAnsiTheme="majorHAnsi"/>
        </w:rPr>
        <w:t>-prihod od kamata na zajam-matičnih pravnih lica                  136.552,13</w:t>
      </w:r>
    </w:p>
    <w:p w:rsidR="00CE5E8F" w:rsidRPr="00972A19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972A19">
        <w:rPr>
          <w:rFonts w:asciiTheme="majorHAnsi" w:hAnsiTheme="majorHAnsi"/>
        </w:rPr>
        <w:t>-prihod od kamata na oročenih depozita                                     386.559,19</w:t>
      </w:r>
    </w:p>
    <w:p w:rsidR="00CE5E8F" w:rsidRPr="00972A19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972A19">
        <w:rPr>
          <w:rFonts w:asciiTheme="majorHAnsi" w:hAnsiTheme="majorHAnsi"/>
        </w:rPr>
        <w:t>-prihod od kamata na zajmove-ostalih pl.                                      40.857,33</w:t>
      </w:r>
    </w:p>
    <w:p w:rsidR="00CE5E8F" w:rsidRDefault="00CE5E8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-prihod od kamata rezervog fonda BiH              </w:t>
      </w:r>
      <w:r w:rsidR="00854E08">
        <w:rPr>
          <w:rFonts w:asciiTheme="majorHAnsi" w:hAnsiTheme="majorHAnsi"/>
        </w:rPr>
        <w:t xml:space="preserve">                             </w:t>
      </w:r>
      <w:r>
        <w:rPr>
          <w:rFonts w:asciiTheme="majorHAnsi" w:hAnsiTheme="majorHAnsi"/>
        </w:rPr>
        <w:t>17.484,13</w:t>
      </w:r>
    </w:p>
    <w:p w:rsidR="00CE5E8F" w:rsidRDefault="00CE5E8F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CE5E8F" w:rsidRDefault="006104F6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CE5E8F">
        <w:rPr>
          <w:rFonts w:asciiTheme="majorHAnsi" w:hAnsiTheme="majorHAnsi"/>
        </w:rPr>
        <w:t>Finansijski prihodi su manji za 17% u odnosu na predhodnu godinu</w:t>
      </w:r>
      <w:r w:rsidR="00BE6613">
        <w:rPr>
          <w:rFonts w:asciiTheme="majorHAnsi" w:hAnsiTheme="majorHAnsi"/>
        </w:rPr>
        <w:t xml:space="preserve">,pošto su neki zajmovi u toku godine vraćeni </w:t>
      </w:r>
      <w:r w:rsidR="00757B47">
        <w:rPr>
          <w:rFonts w:asciiTheme="majorHAnsi" w:hAnsiTheme="majorHAnsi"/>
        </w:rPr>
        <w:t xml:space="preserve">a i zbog promjene </w:t>
      </w:r>
      <w:r w:rsidR="00BE6613">
        <w:rPr>
          <w:rFonts w:asciiTheme="majorHAnsi" w:hAnsiTheme="majorHAnsi"/>
        </w:rPr>
        <w:t>kamaten</w:t>
      </w:r>
      <w:r w:rsidR="00757B47">
        <w:rPr>
          <w:rFonts w:asciiTheme="majorHAnsi" w:hAnsiTheme="majorHAnsi"/>
        </w:rPr>
        <w:t>ih</w:t>
      </w:r>
      <w:r w:rsidR="00BE6613">
        <w:rPr>
          <w:rFonts w:asciiTheme="majorHAnsi" w:hAnsiTheme="majorHAnsi"/>
        </w:rPr>
        <w:t xml:space="preserve"> stop</w:t>
      </w:r>
      <w:r w:rsidR="00757B47">
        <w:rPr>
          <w:rFonts w:asciiTheme="majorHAnsi" w:hAnsiTheme="majorHAnsi"/>
        </w:rPr>
        <w:t>a</w:t>
      </w:r>
      <w:r w:rsidR="00BE6613">
        <w:rPr>
          <w:rFonts w:asciiTheme="majorHAnsi" w:hAnsiTheme="majorHAnsi"/>
        </w:rPr>
        <w:t xml:space="preserve"> </w:t>
      </w:r>
      <w:r w:rsidR="00757B47">
        <w:rPr>
          <w:rFonts w:asciiTheme="majorHAnsi" w:hAnsiTheme="majorHAnsi"/>
        </w:rPr>
        <w:t>koje bilježe pad u  2015.g.</w:t>
      </w:r>
    </w:p>
    <w:p w:rsidR="009679C4" w:rsidRDefault="009679C4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9679C4" w:rsidRPr="00E116C1" w:rsidRDefault="009679C4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E116C1">
        <w:rPr>
          <w:rFonts w:asciiTheme="majorHAnsi" w:hAnsiTheme="majorHAnsi"/>
          <w:b/>
          <w:u w:val="single"/>
        </w:rPr>
        <w:t>NOTA 37(AOP 253)</w:t>
      </w:r>
    </w:p>
    <w:p w:rsidR="00E116C1" w:rsidRP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E116C1">
        <w:rPr>
          <w:rFonts w:asciiTheme="majorHAnsi" w:hAnsiTheme="majorHAnsi"/>
          <w:b/>
        </w:rPr>
        <w:t>Finansijski rashodi</w:t>
      </w:r>
    </w:p>
    <w:p w:rsidR="00E116C1" w:rsidRDefault="00E116C1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tbl>
      <w:tblPr>
        <w:tblW w:w="9190" w:type="dxa"/>
        <w:tblInd w:w="93" w:type="dxa"/>
        <w:tblLook w:val="04A0"/>
      </w:tblPr>
      <w:tblGrid>
        <w:gridCol w:w="2390"/>
        <w:gridCol w:w="1040"/>
        <w:gridCol w:w="1520"/>
        <w:gridCol w:w="1380"/>
        <w:gridCol w:w="1300"/>
        <w:gridCol w:w="1560"/>
      </w:tblGrid>
      <w:tr w:rsidR="00E116C1" w:rsidRPr="00CE5E8F" w:rsidTr="00EB3D44">
        <w:trPr>
          <w:trHeight w:val="30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Vrsta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Index</w:t>
            </w:r>
          </w:p>
        </w:tc>
      </w:tr>
      <w:tr w:rsidR="00E116C1" w:rsidRPr="00CE5E8F" w:rsidTr="00EB3D44">
        <w:trPr>
          <w:trHeight w:val="300"/>
        </w:trPr>
        <w:tc>
          <w:tcPr>
            <w:tcW w:w="3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Rashodi kamata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od </w:t>
            </w:r>
            <w:r>
              <w:rPr>
                <w:rFonts w:ascii="Cambria" w:eastAsia="Times New Roman" w:hAnsi="Cambria" w:cs="Times New Roman"/>
                <w:color w:val="000000"/>
              </w:rPr>
              <w:t>povezanog p.l.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1.341,68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E116C1" w:rsidRPr="00CE5E8F" w:rsidTr="00EB3D44">
        <w:trPr>
          <w:trHeight w:val="315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Negativne 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kursn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 razlik</w:t>
            </w:r>
            <w:r>
              <w:rPr>
                <w:rFonts w:ascii="Cambria" w:eastAsia="Times New Roman" w:hAnsi="Cambria" w:cs="Times New Roman"/>
                <w:color w:val="000000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2.118,91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7.690</w:t>
            </w:r>
            <w:r w:rsidR="00C6109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D42EDE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28</w:t>
            </w:r>
          </w:p>
        </w:tc>
      </w:tr>
      <w:tr w:rsidR="00E116C1" w:rsidRPr="00CE5E8F" w:rsidTr="00EB3D44">
        <w:trPr>
          <w:trHeight w:val="300"/>
        </w:trPr>
        <w:tc>
          <w:tcPr>
            <w:tcW w:w="49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Ostali finans</w:t>
            </w:r>
            <w:r>
              <w:rPr>
                <w:rFonts w:ascii="Cambria" w:eastAsia="Times New Roman" w:hAnsi="Cambria" w:cs="Times New Roman"/>
                <w:color w:val="000000"/>
              </w:rPr>
              <w:t>i</w:t>
            </w:r>
            <w:r w:rsidRPr="00CE5E8F">
              <w:rPr>
                <w:rFonts w:ascii="Cambria" w:eastAsia="Times New Roman" w:hAnsi="Cambria" w:cs="Times New Roman"/>
                <w:color w:val="000000"/>
              </w:rPr>
              <w:t xml:space="preserve">jski </w:t>
            </w:r>
            <w:r>
              <w:rPr>
                <w:rFonts w:ascii="Cambria" w:eastAsia="Times New Roman" w:hAnsi="Cambria" w:cs="Times New Roman"/>
                <w:color w:val="000000"/>
              </w:rPr>
              <w:t>rashodi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116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</w:tr>
      <w:tr w:rsidR="00E116C1" w:rsidRPr="00CE5E8F" w:rsidTr="00EB3D44">
        <w:trPr>
          <w:trHeight w:val="300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Ukupno: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  <w:r w:rsidRPr="00CE5E8F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3.481,29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E116C1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7.690</w:t>
            </w:r>
            <w:r w:rsidR="00C6109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6C1" w:rsidRPr="00CE5E8F" w:rsidRDefault="00D42EDE" w:rsidP="00EB3D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45</w:t>
            </w:r>
          </w:p>
        </w:tc>
      </w:tr>
    </w:tbl>
    <w:p w:rsidR="00EB3D44" w:rsidRDefault="00EB3D44" w:rsidP="0017058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EB3D44" w:rsidRDefault="000844F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EB3D44">
        <w:rPr>
          <w:rFonts w:asciiTheme="majorHAnsi" w:hAnsiTheme="majorHAnsi"/>
        </w:rPr>
        <w:t>Rashodi kamata u iznosu od 1.341,68KM su nastali po osnovu kratkoročnog zajma koji je uzet od povezanog pravnog lica Nešković doo Bijeljina u iznosu od 700.000</w:t>
      </w:r>
      <w:r w:rsidR="00A02883">
        <w:rPr>
          <w:rFonts w:asciiTheme="majorHAnsi" w:hAnsiTheme="majorHAnsi"/>
        </w:rPr>
        <w:t xml:space="preserve">KM,odobrenog </w:t>
      </w:r>
      <w:r w:rsidR="00710DEE">
        <w:rPr>
          <w:rFonts w:asciiTheme="majorHAnsi" w:hAnsiTheme="majorHAnsi"/>
        </w:rPr>
        <w:t xml:space="preserve"> 08.12.2015.g i</w:t>
      </w:r>
    </w:p>
    <w:p w:rsidR="00D42EDE" w:rsidRDefault="00710DEE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kamatom 3%.</w:t>
      </w:r>
    </w:p>
    <w:p w:rsidR="00D42EDE" w:rsidRDefault="000844F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D42EDE">
        <w:rPr>
          <w:rFonts w:asciiTheme="majorHAnsi" w:hAnsiTheme="majorHAnsi"/>
        </w:rPr>
        <w:t>Negativne kursne razlike su nastale po osnovu plaćanje šteta u valuti CHF kao razlika između srednjeg i</w:t>
      </w:r>
      <w:r w:rsidR="00612819">
        <w:rPr>
          <w:rFonts w:asciiTheme="majorHAnsi" w:hAnsiTheme="majorHAnsi"/>
        </w:rPr>
        <w:t xml:space="preserve"> kupovnog kursa u iznosu od 2.118,91KM.</w:t>
      </w:r>
    </w:p>
    <w:p w:rsidR="008C3DFF" w:rsidRDefault="008C3DF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odnosu na predhodnu </w:t>
      </w:r>
      <w:r w:rsidRPr="00E81D5A">
        <w:rPr>
          <w:rFonts w:asciiTheme="majorHAnsi" w:hAnsiTheme="majorHAnsi"/>
        </w:rPr>
        <w:t>godinu</w:t>
      </w:r>
      <w:r>
        <w:rPr>
          <w:rFonts w:asciiTheme="majorHAnsi" w:hAnsiTheme="majorHAnsi"/>
        </w:rPr>
        <w:t xml:space="preserve"> finansijski rashodi su manji za 54,73%</w:t>
      </w:r>
    </w:p>
    <w:p w:rsidR="008455DE" w:rsidRDefault="008455DE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8455DE">
        <w:rPr>
          <w:rFonts w:asciiTheme="majorHAnsi" w:hAnsiTheme="majorHAnsi"/>
          <w:b/>
          <w:u w:val="single"/>
        </w:rPr>
        <w:t>NOTA 38(AOP260)</w:t>
      </w:r>
    </w:p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8455DE">
        <w:rPr>
          <w:rFonts w:asciiTheme="majorHAnsi" w:hAnsiTheme="majorHAnsi"/>
          <w:b/>
        </w:rPr>
        <w:t>Ostali prihodi</w:t>
      </w:r>
    </w:p>
    <w:p w:rsidR="00CF6782" w:rsidRDefault="00CF6782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435" w:type="dxa"/>
        <w:tblInd w:w="93" w:type="dxa"/>
        <w:tblLook w:val="04A0"/>
      </w:tblPr>
      <w:tblGrid>
        <w:gridCol w:w="2286"/>
        <w:gridCol w:w="940"/>
        <w:gridCol w:w="1332"/>
        <w:gridCol w:w="333"/>
        <w:gridCol w:w="1567"/>
        <w:gridCol w:w="1606"/>
        <w:gridCol w:w="1371"/>
      </w:tblGrid>
      <w:tr w:rsidR="00AA23E1" w:rsidRPr="00AA23E1" w:rsidTr="00AA23E1">
        <w:trPr>
          <w:trHeight w:val="31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Vrsta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AA23E1" w:rsidRPr="00AA23E1" w:rsidTr="00870C31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Prihod po osnovu rasta HOV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28.818,60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870C31" w:rsidTr="00870C31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2C127C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C12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Naplać. otpisana potraživanja po pravilniku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2C127C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2C127C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4.033,26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2C127C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46.327,58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2C127C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1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AA23E1" w:rsidRPr="00AA23E1" w:rsidTr="0012543B">
        <w:trPr>
          <w:trHeight w:val="315"/>
        </w:trPr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Napl.otpisan potraživanja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3.451,15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A73A6E">
        <w:trPr>
          <w:trHeight w:val="31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Dobici od prodaje opreme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1.031,64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AA23E1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Ostali nepomenuti prihodi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13.041,82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AA23E1">
        <w:trPr>
          <w:trHeight w:val="315"/>
        </w:trPr>
        <w:tc>
          <w:tcPr>
            <w:tcW w:w="4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Prihodi od smanjenja obaveza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5.184,01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A23E1" w:rsidRPr="00AA23E1" w:rsidTr="00AA23E1">
        <w:trPr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Ukupno: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18.106,72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83.781,34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3E1" w:rsidRPr="00AA23E1" w:rsidRDefault="00AA23E1" w:rsidP="00AA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23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8455DE" w:rsidRDefault="008455DE" w:rsidP="00170584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CF6782" w:rsidRDefault="006E5AFE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716C1C" w:rsidRPr="006E5AFE">
        <w:rPr>
          <w:rFonts w:asciiTheme="majorHAnsi" w:hAnsiTheme="majorHAnsi"/>
        </w:rPr>
        <w:t xml:space="preserve">Ostali prihodi su </w:t>
      </w:r>
      <w:r>
        <w:rPr>
          <w:rFonts w:asciiTheme="majorHAnsi" w:hAnsiTheme="majorHAnsi"/>
        </w:rPr>
        <w:t xml:space="preserve">manji u odnosu na predhodnu godinu za 78%,jer su u 2015.g.efekti promjene na HOV negativni a potraživanja </w:t>
      </w:r>
      <w:r w:rsidR="001911E1">
        <w:rPr>
          <w:rFonts w:asciiTheme="majorHAnsi" w:hAnsiTheme="majorHAnsi"/>
        </w:rPr>
        <w:t>su procjenjen</w:t>
      </w:r>
      <w:r w:rsidR="00370B0F">
        <w:rPr>
          <w:rFonts w:asciiTheme="majorHAnsi" w:hAnsiTheme="majorHAnsi"/>
        </w:rPr>
        <w:t>a</w:t>
      </w:r>
      <w:r w:rsidR="001911E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u većem iznosu u odnosu na početno stanje i knjiženi</w:t>
      </w:r>
      <w:r w:rsidR="00370B0F">
        <w:rPr>
          <w:rFonts w:asciiTheme="majorHAnsi" w:hAnsiTheme="majorHAnsi"/>
        </w:rPr>
        <w:t xml:space="preserve"> su</w:t>
      </w:r>
      <w:r>
        <w:rPr>
          <w:rFonts w:asciiTheme="majorHAnsi" w:hAnsiTheme="majorHAnsi"/>
        </w:rPr>
        <w:t xml:space="preserve"> na rashodima.</w:t>
      </w:r>
    </w:p>
    <w:p w:rsidR="000F463D" w:rsidRDefault="000F463D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E81D5A" w:rsidRDefault="000F463D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E81D5A">
        <w:rPr>
          <w:rFonts w:asciiTheme="majorHAnsi" w:hAnsiTheme="majorHAnsi"/>
        </w:rPr>
        <w:t xml:space="preserve"> Ostali nepomenuti </w:t>
      </w:r>
      <w:r w:rsidR="0065507F">
        <w:rPr>
          <w:rFonts w:asciiTheme="majorHAnsi" w:hAnsiTheme="majorHAnsi"/>
        </w:rPr>
        <w:t>prihodi</w:t>
      </w:r>
      <w:r w:rsidR="00E81D5A">
        <w:rPr>
          <w:rFonts w:asciiTheme="majorHAnsi" w:hAnsiTheme="majorHAnsi"/>
        </w:rPr>
        <w:t xml:space="preserve"> u iznosu od 13.041,82KMse sastoje od sledećih stavki:</w:t>
      </w:r>
    </w:p>
    <w:p w:rsidR="00E81D5A" w:rsidRDefault="00E81D5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-Povrat više uplaćenih sredstava po rešenju Agencije za osig. za 2014.g.-tehnička greška 135 ,00</w:t>
      </w:r>
    </w:p>
    <w:p w:rsidR="00E81D5A" w:rsidRDefault="00E81D5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-ukidanje obaveze prema</w:t>
      </w:r>
      <w:r w:rsidR="00B0456F">
        <w:rPr>
          <w:rFonts w:asciiTheme="majorHAnsi" w:hAnsiTheme="majorHAnsi"/>
        </w:rPr>
        <w:t xml:space="preserve"> dobavljaču</w:t>
      </w:r>
      <w:r>
        <w:rPr>
          <w:rFonts w:asciiTheme="majorHAnsi" w:hAnsiTheme="majorHAnsi"/>
        </w:rPr>
        <w:t xml:space="preserve"> Komunalno Petrovo u iznosu                                               </w:t>
      </w:r>
      <w:r w:rsidR="00B0456F">
        <w:rPr>
          <w:rFonts w:asciiTheme="majorHAnsi" w:hAnsiTheme="majorHAnsi"/>
        </w:rPr>
        <w:t>35,10</w:t>
      </w:r>
      <w:r>
        <w:rPr>
          <w:rFonts w:asciiTheme="majorHAnsi" w:hAnsiTheme="majorHAnsi"/>
        </w:rPr>
        <w:t xml:space="preserve">                    </w:t>
      </w:r>
    </w:p>
    <w:p w:rsidR="00E81D5A" w:rsidRDefault="00E81D5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-ukidannje obaveze dobavljača Lazarević Mijat Pale                                                                  </w:t>
      </w:r>
      <w:r w:rsidR="00B0456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7.500,00</w:t>
      </w:r>
    </w:p>
    <w:p w:rsidR="00E81D5A" w:rsidRDefault="00E81D5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-uplata Ministarstva finansija po osnovu sudskog rešenja po sporu               </w:t>
      </w:r>
      <w:r w:rsidR="00B0456F">
        <w:rPr>
          <w:rFonts w:asciiTheme="majorHAnsi" w:hAnsiTheme="majorHAnsi"/>
        </w:rPr>
        <w:t xml:space="preserve">                         </w:t>
      </w:r>
      <w:r>
        <w:rPr>
          <w:rFonts w:asciiTheme="majorHAnsi" w:hAnsiTheme="majorHAnsi"/>
        </w:rPr>
        <w:t xml:space="preserve">     300,00</w:t>
      </w:r>
    </w:p>
    <w:p w:rsidR="00B0456F" w:rsidRDefault="00B0456F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-prefakturisanje računa iz decembra  2014.g.prema zakupcu Moja apoteka B.L                      730,86</w:t>
      </w:r>
    </w:p>
    <w:p w:rsidR="000F463D" w:rsidRDefault="000F463D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-ukidanje obaveze prema PK regije                                                                                                       4.340,86</w:t>
      </w:r>
    </w:p>
    <w:p w:rsidR="00E81D5A" w:rsidRDefault="00E81D5A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  <w:u w:val="single"/>
        </w:rPr>
      </w:pPr>
      <w:r w:rsidRPr="004779E2">
        <w:rPr>
          <w:rFonts w:asciiTheme="majorHAnsi" w:hAnsiTheme="majorHAnsi"/>
          <w:b/>
          <w:u w:val="single"/>
        </w:rPr>
        <w:t>NOTA 39(AOP265)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  <w:r w:rsidRPr="004779E2">
        <w:rPr>
          <w:rFonts w:asciiTheme="majorHAnsi" w:hAnsiTheme="majorHAnsi"/>
          <w:b/>
        </w:rPr>
        <w:t>Ostali rashodi</w:t>
      </w:r>
    </w:p>
    <w:p w:rsidR="004779E2" w:rsidRDefault="004779E2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tbl>
      <w:tblPr>
        <w:tblW w:w="9390" w:type="dxa"/>
        <w:tblInd w:w="93" w:type="dxa"/>
        <w:tblLook w:val="04A0"/>
      </w:tblPr>
      <w:tblGrid>
        <w:gridCol w:w="3132"/>
        <w:gridCol w:w="824"/>
        <w:gridCol w:w="1166"/>
        <w:gridCol w:w="295"/>
        <w:gridCol w:w="1371"/>
        <w:gridCol w:w="1403"/>
        <w:gridCol w:w="1199"/>
      </w:tblGrid>
      <w:tr w:rsidR="00A25FC3" w:rsidRPr="004917E8" w:rsidTr="00A25FC3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4917E8" w:rsidRPr="004917E8" w:rsidTr="00A25FC3">
        <w:trPr>
          <w:trHeight w:val="165"/>
        </w:trPr>
        <w:tc>
          <w:tcPr>
            <w:tcW w:w="512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88,52 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408,65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25FC3" w:rsidRPr="004917E8" w:rsidTr="00A25FC3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Gubici na HOV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4.171,47 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-  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917E8" w:rsidRPr="004917E8" w:rsidTr="00A25FC3">
        <w:trPr>
          <w:trHeight w:val="165"/>
        </w:trPr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otpisa potraživanj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54.858,67 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52.417,14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A25FC3" w:rsidRPr="004917E8" w:rsidTr="00A25FC3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kazni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900,00 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1.909,87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A25FC3" w:rsidRPr="004917E8" w:rsidTr="00A25FC3">
        <w:trPr>
          <w:trHeight w:val="165"/>
        </w:trPr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25.044,75   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16.412,46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A25FC3" w:rsidRPr="004917E8" w:rsidTr="00A25FC3">
        <w:trPr>
          <w:trHeight w:val="165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5.279,41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2.868,56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184</w:t>
            </w:r>
          </w:p>
        </w:tc>
      </w:tr>
      <w:tr w:rsidR="00A25FC3" w:rsidRPr="004917E8" w:rsidTr="00A25FC3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90.342,82    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74.016,68     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7E8" w:rsidRPr="0012543B" w:rsidRDefault="004917E8" w:rsidP="004917E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2543B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122</w:t>
            </w:r>
          </w:p>
        </w:tc>
      </w:tr>
    </w:tbl>
    <w:p w:rsidR="004917E8" w:rsidRDefault="004917E8" w:rsidP="006E5AFE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A25FC3" w:rsidRDefault="00A25FC3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A25FC3">
        <w:rPr>
          <w:rFonts w:asciiTheme="majorHAnsi" w:hAnsiTheme="majorHAnsi"/>
        </w:rPr>
        <w:t xml:space="preserve">Ostali rashodi </w:t>
      </w:r>
      <w:r>
        <w:rPr>
          <w:rFonts w:asciiTheme="majorHAnsi" w:hAnsiTheme="majorHAnsi"/>
        </w:rPr>
        <w:t>u iznosu od 90.342,82KM su veći za 22% u odnosu na predhodnu godinu.</w:t>
      </w:r>
    </w:p>
    <w:p w:rsidR="00A25FC3" w:rsidRDefault="00A25FC3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A25FC3" w:rsidRDefault="001C0F58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A25FC3">
        <w:rPr>
          <w:rFonts w:asciiTheme="majorHAnsi" w:hAnsiTheme="majorHAnsi"/>
        </w:rPr>
        <w:t>Rashodi po osnovu otpisa potraživ</w:t>
      </w:r>
      <w:r>
        <w:rPr>
          <w:rFonts w:asciiTheme="majorHAnsi" w:hAnsiTheme="majorHAnsi"/>
        </w:rPr>
        <w:t>a</w:t>
      </w:r>
      <w:r w:rsidR="00A25FC3">
        <w:rPr>
          <w:rFonts w:asciiTheme="majorHAnsi" w:hAnsiTheme="majorHAnsi"/>
        </w:rPr>
        <w:t>nja su nastala po Pravilniku o procjenjivanju bilansnih i vanbilansnih pozicija u iznosu od 32.959,77KM.Pored navedenih rashod</w:t>
      </w:r>
      <w:r w:rsidR="007A6217">
        <w:rPr>
          <w:rFonts w:asciiTheme="majorHAnsi" w:hAnsiTheme="majorHAnsi"/>
        </w:rPr>
        <w:t>a</w:t>
      </w:r>
      <w:r w:rsidR="00A25FC3">
        <w:rPr>
          <w:rFonts w:asciiTheme="majorHAnsi" w:hAnsiTheme="majorHAnsi"/>
        </w:rPr>
        <w:t xml:space="preserve"> izvršen je </w:t>
      </w:r>
      <w:r w:rsidR="007A6217">
        <w:rPr>
          <w:rFonts w:asciiTheme="majorHAnsi" w:hAnsiTheme="majorHAnsi"/>
        </w:rPr>
        <w:t>i</w:t>
      </w:r>
      <w:r w:rsidR="00A25FC3">
        <w:rPr>
          <w:rFonts w:asciiTheme="majorHAnsi" w:hAnsiTheme="majorHAnsi"/>
        </w:rPr>
        <w:t xml:space="preserve"> direktan otpis potraživanja:regresa 15.495,50KM,</w:t>
      </w:r>
      <w:r w:rsidR="007A6217">
        <w:rPr>
          <w:rFonts w:asciiTheme="majorHAnsi" w:hAnsiTheme="majorHAnsi"/>
        </w:rPr>
        <w:t xml:space="preserve">po osnovu </w:t>
      </w:r>
      <w:r w:rsidR="00826294">
        <w:rPr>
          <w:rFonts w:asciiTheme="majorHAnsi" w:hAnsiTheme="majorHAnsi"/>
        </w:rPr>
        <w:t xml:space="preserve">premije </w:t>
      </w:r>
      <w:r w:rsidR="007A6217">
        <w:rPr>
          <w:rFonts w:asciiTheme="majorHAnsi" w:hAnsiTheme="majorHAnsi"/>
        </w:rPr>
        <w:t xml:space="preserve">autoodgovornosti 20,90KM,po osnovu </w:t>
      </w:r>
      <w:r w:rsidR="00826294">
        <w:rPr>
          <w:rFonts w:asciiTheme="majorHAnsi" w:hAnsiTheme="majorHAnsi"/>
        </w:rPr>
        <w:t xml:space="preserve">premije kaska </w:t>
      </w:r>
      <w:r w:rsidR="007A6217">
        <w:rPr>
          <w:rFonts w:asciiTheme="majorHAnsi" w:hAnsiTheme="majorHAnsi"/>
        </w:rPr>
        <w:t>4.301,50KM,po osnovu</w:t>
      </w:r>
      <w:r w:rsidR="00826294">
        <w:rPr>
          <w:rFonts w:asciiTheme="majorHAnsi" w:hAnsiTheme="majorHAnsi"/>
        </w:rPr>
        <w:t xml:space="preserve">premije </w:t>
      </w:r>
      <w:r w:rsidR="007A6217">
        <w:rPr>
          <w:rFonts w:asciiTheme="majorHAnsi" w:hAnsiTheme="majorHAnsi"/>
        </w:rPr>
        <w:t xml:space="preserve"> imovine 1.980,00KM i po osnovu</w:t>
      </w:r>
      <w:r w:rsidR="00826294">
        <w:rPr>
          <w:rFonts w:asciiTheme="majorHAnsi" w:hAnsiTheme="majorHAnsi"/>
        </w:rPr>
        <w:t xml:space="preserve"> premije</w:t>
      </w:r>
      <w:r w:rsidR="007A6217">
        <w:rPr>
          <w:rFonts w:asciiTheme="majorHAnsi" w:hAnsiTheme="majorHAnsi"/>
        </w:rPr>
        <w:t xml:space="preserve"> nezgode 101,50KM.</w:t>
      </w:r>
    </w:p>
    <w:p w:rsidR="001C0F58" w:rsidRDefault="001C0F58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334E97" w:rsidRDefault="00D9751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</w:t>
      </w:r>
      <w:r w:rsidR="001A48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</w:t>
      </w:r>
      <w:r w:rsidR="00334E97">
        <w:rPr>
          <w:rFonts w:asciiTheme="majorHAnsi" w:hAnsiTheme="majorHAnsi"/>
        </w:rPr>
        <w:t xml:space="preserve">U ostalim rashodima u iznosu od 5.279,41KM su svrstani rashodi po računima koji su stigli u </w:t>
      </w:r>
    </w:p>
    <w:p w:rsidR="00334E97" w:rsidRDefault="00D9751A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2015.g.</w:t>
      </w:r>
      <w:r w:rsidR="00334E97">
        <w:rPr>
          <w:rFonts w:asciiTheme="majorHAnsi" w:hAnsiTheme="majorHAnsi"/>
        </w:rPr>
        <w:t>a odnose se na raniji obračunski period:</w:t>
      </w:r>
    </w:p>
    <w:p w:rsidR="00334E97" w:rsidRDefault="00334E97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334E97" w:rsidRPr="00D9751A" w:rsidRDefault="00334E9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 xml:space="preserve">-račun Auadex  Bugarska za 12/14,stigao 23.02.2015.g.                    285,55                                                                        </w:t>
      </w:r>
    </w:p>
    <w:p w:rsidR="00334E97" w:rsidRPr="00D9751A" w:rsidRDefault="00334E9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>-poreski račun za</w:t>
      </w:r>
      <w:r w:rsidR="00D9751A">
        <w:rPr>
          <w:rFonts w:asciiTheme="majorHAnsi" w:hAnsiTheme="majorHAnsi"/>
        </w:rPr>
        <w:t xml:space="preserve"> </w:t>
      </w:r>
      <w:r w:rsidRPr="00D9751A">
        <w:rPr>
          <w:rFonts w:asciiTheme="majorHAnsi" w:hAnsiTheme="majorHAnsi"/>
        </w:rPr>
        <w:t>objekat K.Dubicu                                                            350,22</w:t>
      </w:r>
    </w:p>
    <w:p w:rsidR="00334E97" w:rsidRPr="00D9751A" w:rsidRDefault="00334E9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>-račun  Biro ZK stigao 02.04.2015 po konačnom obračunu 14.g.  3.290,22</w:t>
      </w:r>
    </w:p>
    <w:p w:rsidR="00977F0C" w:rsidRPr="00D9751A" w:rsidRDefault="00977F0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>-računi Lotos MG B.Luka –po iosu                                                            1.088,92</w:t>
      </w:r>
    </w:p>
    <w:p w:rsidR="00977F0C" w:rsidRPr="00D9751A" w:rsidRDefault="00977F0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>-plaćena Rtv pretplata iz ranijih godina                                                    135,50</w:t>
      </w:r>
    </w:p>
    <w:p w:rsidR="00AE69F7" w:rsidRPr="00D9751A" w:rsidRDefault="00977F0C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 xml:space="preserve">  -račun Komunalno Brčko</w:t>
      </w:r>
      <w:r w:rsidR="00334E97" w:rsidRPr="00D9751A">
        <w:rPr>
          <w:rFonts w:asciiTheme="majorHAnsi" w:hAnsiTheme="majorHAnsi"/>
        </w:rPr>
        <w:t xml:space="preserve">                                       </w:t>
      </w:r>
      <w:r w:rsidRPr="00D9751A">
        <w:rPr>
          <w:rFonts w:asciiTheme="majorHAnsi" w:hAnsiTheme="majorHAnsi"/>
        </w:rPr>
        <w:t xml:space="preserve">                          </w:t>
      </w:r>
      <w:r w:rsidR="00D9751A" w:rsidRPr="00D9751A">
        <w:rPr>
          <w:rFonts w:asciiTheme="majorHAnsi" w:hAnsiTheme="majorHAnsi"/>
        </w:rPr>
        <w:t xml:space="preserve">           </w:t>
      </w:r>
      <w:r w:rsidRPr="00D9751A">
        <w:rPr>
          <w:rFonts w:asciiTheme="majorHAnsi" w:hAnsiTheme="majorHAnsi"/>
        </w:rPr>
        <w:t xml:space="preserve">   49,47    </w:t>
      </w:r>
    </w:p>
    <w:p w:rsidR="00334E97" w:rsidRPr="00D9751A" w:rsidRDefault="00AE69F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 xml:space="preserve">-povrat po više odkup.šteti </w:t>
      </w:r>
      <w:r w:rsidR="00977F0C" w:rsidRPr="00D9751A">
        <w:rPr>
          <w:rFonts w:asciiTheme="majorHAnsi" w:hAnsiTheme="majorHAnsi"/>
        </w:rPr>
        <w:t xml:space="preserve">                                       </w:t>
      </w:r>
      <w:r w:rsidRPr="00D9751A">
        <w:rPr>
          <w:rFonts w:asciiTheme="majorHAnsi" w:hAnsiTheme="majorHAnsi"/>
        </w:rPr>
        <w:t xml:space="preserve">                                   </w:t>
      </w:r>
      <w:r w:rsidR="00D9751A" w:rsidRPr="00D9751A">
        <w:rPr>
          <w:rFonts w:asciiTheme="majorHAnsi" w:hAnsiTheme="majorHAnsi"/>
        </w:rPr>
        <w:t xml:space="preserve"> </w:t>
      </w:r>
      <w:r w:rsidRPr="00D9751A">
        <w:rPr>
          <w:rFonts w:asciiTheme="majorHAnsi" w:hAnsiTheme="majorHAnsi"/>
        </w:rPr>
        <w:t xml:space="preserve">  75,00</w:t>
      </w:r>
    </w:p>
    <w:p w:rsidR="00AE69F7" w:rsidRDefault="00AE69F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D9751A">
        <w:rPr>
          <w:rFonts w:asciiTheme="majorHAnsi" w:hAnsiTheme="majorHAnsi"/>
        </w:rPr>
        <w:t>-izravnanja</w:t>
      </w:r>
      <w:r w:rsidR="00D9751A" w:rsidRPr="00D9751A">
        <w:rPr>
          <w:rFonts w:asciiTheme="majorHAnsi" w:hAnsiTheme="majorHAnsi"/>
        </w:rPr>
        <w:t xml:space="preserve">                                                                                                              4,</w:t>
      </w:r>
      <w:r w:rsidR="00D9751A">
        <w:rPr>
          <w:rFonts w:asciiTheme="majorHAnsi" w:hAnsiTheme="majorHAnsi"/>
        </w:rPr>
        <w:t>53</w:t>
      </w:r>
    </w:p>
    <w:p w:rsidR="00D15247" w:rsidRDefault="00D1524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DB5BB6" w:rsidRDefault="00A05B57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1A48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15247">
        <w:rPr>
          <w:rFonts w:asciiTheme="majorHAnsi" w:hAnsiTheme="majorHAnsi"/>
        </w:rPr>
        <w:t>Obzirom da je u pravilniku o računovodstvu u djelu</w:t>
      </w:r>
      <w:r w:rsidR="00725906">
        <w:rPr>
          <w:rFonts w:asciiTheme="majorHAnsi" w:hAnsiTheme="majorHAnsi"/>
        </w:rPr>
        <w:t xml:space="preserve"> računovodstvenih politika ,,</w:t>
      </w:r>
      <w:r>
        <w:rPr>
          <w:rFonts w:asciiTheme="majorHAnsi" w:hAnsiTheme="majorHAnsi"/>
        </w:rPr>
        <w:t>I</w:t>
      </w:r>
      <w:r w:rsidR="00725906">
        <w:rPr>
          <w:rFonts w:asciiTheme="majorHAnsi" w:hAnsiTheme="majorHAnsi"/>
        </w:rPr>
        <w:t xml:space="preserve">spravljanje grešaka,, predviđeno da je značajna greška ona čiji ukupan ili pojedinačan iznos prelazi </w:t>
      </w:r>
      <w:r w:rsidR="00B139D5">
        <w:rPr>
          <w:rFonts w:asciiTheme="majorHAnsi" w:hAnsiTheme="majorHAnsi"/>
        </w:rPr>
        <w:t>0,2</w:t>
      </w:r>
      <w:r w:rsidR="00725906">
        <w:rPr>
          <w:rFonts w:asciiTheme="majorHAnsi" w:hAnsiTheme="majorHAnsi"/>
        </w:rPr>
        <w:t xml:space="preserve">% od </w:t>
      </w:r>
      <w:r>
        <w:rPr>
          <w:rFonts w:asciiTheme="majorHAnsi" w:hAnsiTheme="majorHAnsi"/>
        </w:rPr>
        <w:t xml:space="preserve">ukupnog prihoda,navedenim troškovima nije izvršena korekcoja neraspoređene dobiti </w:t>
      </w:r>
      <w:r w:rsidR="007E0235">
        <w:rPr>
          <w:rFonts w:asciiTheme="majorHAnsi" w:hAnsiTheme="majorHAnsi"/>
        </w:rPr>
        <w:t xml:space="preserve">predhodne godine </w:t>
      </w:r>
      <w:r>
        <w:rPr>
          <w:rFonts w:asciiTheme="majorHAnsi" w:hAnsiTheme="majorHAnsi"/>
        </w:rPr>
        <w:t xml:space="preserve">već su knjiženi </w:t>
      </w:r>
      <w:r w:rsidR="009E45F9">
        <w:rPr>
          <w:rFonts w:asciiTheme="majorHAnsi" w:hAnsiTheme="majorHAnsi"/>
        </w:rPr>
        <w:t>kao rashodi perioda.</w:t>
      </w:r>
    </w:p>
    <w:p w:rsidR="00DB5BB6" w:rsidRDefault="00DB5BB6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DB5BB6" w:rsidRDefault="00DB5BB6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DB5BB6" w:rsidRPr="009F5CAA" w:rsidRDefault="003A7CCF" w:rsidP="006E5AFE">
      <w:pPr>
        <w:pStyle w:val="NoSpacing"/>
        <w:tabs>
          <w:tab w:val="left" w:pos="5245"/>
        </w:tabs>
        <w:rPr>
          <w:rFonts w:asciiTheme="majorHAnsi" w:hAnsiTheme="majorHAnsi"/>
          <w:b/>
          <w:sz w:val="28"/>
          <w:szCs w:val="28"/>
        </w:rPr>
      </w:pPr>
      <w:r w:rsidRPr="009F5CAA">
        <w:rPr>
          <w:rFonts w:asciiTheme="majorHAnsi" w:hAnsiTheme="majorHAnsi"/>
          <w:b/>
          <w:sz w:val="28"/>
          <w:szCs w:val="28"/>
        </w:rPr>
        <w:t>Pregled finansijskog rezultata</w:t>
      </w:r>
    </w:p>
    <w:tbl>
      <w:tblPr>
        <w:tblW w:w="9109" w:type="dxa"/>
        <w:tblInd w:w="93" w:type="dxa"/>
        <w:tblLook w:val="04A0"/>
      </w:tblPr>
      <w:tblGrid>
        <w:gridCol w:w="2063"/>
        <w:gridCol w:w="1007"/>
        <w:gridCol w:w="1824"/>
        <w:gridCol w:w="2286"/>
        <w:gridCol w:w="1929"/>
      </w:tblGrid>
      <w:tr w:rsidR="003A7CCF" w:rsidRPr="003A7CCF" w:rsidTr="003A7CCF">
        <w:trPr>
          <w:trHeight w:val="154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Index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Poslovni dobitak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8.045.568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7.231.531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prihodi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582.104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703.169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Finansijski rashodi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3.482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7.690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prihodi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18.107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83.781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Ostali rashodi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90.342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74.017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122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Dobit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8.551.955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7.936.774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Porez na dobit</w:t>
            </w:r>
          </w:p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-849.635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-808.213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105</w:t>
            </w:r>
          </w:p>
        </w:tc>
      </w:tr>
      <w:tr w:rsidR="003A7CCF" w:rsidRPr="003A7CCF" w:rsidTr="003A7CCF">
        <w:trPr>
          <w:trHeight w:val="154"/>
        </w:trPr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</w:rPr>
              <w:t>Neto dobit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7.702.320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3A7CC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3A7C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7.128.561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CF" w:rsidRPr="003A7CCF" w:rsidRDefault="00A80F7F" w:rsidP="003A7CC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108</w:t>
            </w:r>
          </w:p>
        </w:tc>
      </w:tr>
    </w:tbl>
    <w:p w:rsidR="00DB5BB6" w:rsidRDefault="00DB5BB6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3A7CCF" w:rsidRDefault="003A7CCF" w:rsidP="006E5AFE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F16E9C" w:rsidRDefault="009E45F9" w:rsidP="009E45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3A1A18">
        <w:rPr>
          <w:rFonts w:asciiTheme="majorHAnsi" w:hAnsiTheme="majorHAnsi"/>
        </w:rPr>
        <w:t xml:space="preserve">  </w:t>
      </w:r>
      <w:r w:rsidR="001A487E">
        <w:rPr>
          <w:rFonts w:asciiTheme="majorHAnsi" w:hAnsiTheme="majorHAnsi"/>
        </w:rPr>
        <w:t xml:space="preserve"> </w:t>
      </w:r>
      <w:r w:rsidR="003A7CCF">
        <w:rPr>
          <w:rFonts w:asciiTheme="majorHAnsi" w:hAnsiTheme="majorHAnsi"/>
        </w:rPr>
        <w:t>Iz prezentirane tabele se vidi da je poslovni dobitak veći za 11%</w:t>
      </w:r>
      <w:r w:rsidR="000F7A71">
        <w:rPr>
          <w:rFonts w:asciiTheme="majorHAnsi" w:hAnsiTheme="majorHAnsi"/>
        </w:rPr>
        <w:t xml:space="preserve"> .                                                        </w:t>
      </w:r>
      <w:r w:rsidR="003A7CCF">
        <w:rPr>
          <w:rFonts w:asciiTheme="majorHAnsi" w:hAnsiTheme="majorHAnsi"/>
        </w:rPr>
        <w:t>Rezultat ovakvog poslovnog dobitka</w:t>
      </w:r>
      <w:r w:rsidR="00886CDA">
        <w:rPr>
          <w:rFonts w:asciiTheme="majorHAnsi" w:hAnsiTheme="majorHAnsi"/>
        </w:rPr>
        <w:t xml:space="preserve"> </w:t>
      </w:r>
      <w:r w:rsidR="002E6C22">
        <w:rPr>
          <w:rFonts w:asciiTheme="majorHAnsi" w:hAnsiTheme="majorHAnsi"/>
        </w:rPr>
        <w:t>je</w:t>
      </w:r>
      <w:r w:rsidR="003A7CCF">
        <w:rPr>
          <w:rFonts w:asciiTheme="majorHAnsi" w:hAnsiTheme="majorHAnsi"/>
        </w:rPr>
        <w:t xml:space="preserve"> veća fakturisana premija za 10%</w:t>
      </w:r>
      <w:r w:rsidR="005E4E64">
        <w:rPr>
          <w:rFonts w:asciiTheme="majorHAnsi" w:hAnsiTheme="majorHAnsi"/>
        </w:rPr>
        <w:t>u odnosu na predhodnu godinu</w:t>
      </w:r>
      <w:r w:rsidR="0012543B">
        <w:rPr>
          <w:rFonts w:asciiTheme="majorHAnsi" w:hAnsiTheme="majorHAnsi"/>
        </w:rPr>
        <w:t xml:space="preserve"> , </w:t>
      </w:r>
      <w:r w:rsidR="00F16E9C">
        <w:rPr>
          <w:rFonts w:asciiTheme="majorHAnsi" w:hAnsiTheme="majorHAnsi"/>
        </w:rPr>
        <w:t xml:space="preserve">mjerodavna premija </w:t>
      </w:r>
      <w:r w:rsidR="00886CDA">
        <w:rPr>
          <w:rFonts w:asciiTheme="majorHAnsi" w:hAnsiTheme="majorHAnsi"/>
        </w:rPr>
        <w:t>za</w:t>
      </w:r>
      <w:r w:rsidR="00F16E9C">
        <w:rPr>
          <w:rFonts w:asciiTheme="majorHAnsi" w:hAnsiTheme="majorHAnsi"/>
        </w:rPr>
        <w:t xml:space="preserve"> </w:t>
      </w:r>
      <w:r w:rsidR="0012543B">
        <w:rPr>
          <w:rFonts w:asciiTheme="majorHAnsi" w:hAnsiTheme="majorHAnsi"/>
        </w:rPr>
        <w:t>5,60</w:t>
      </w:r>
      <w:r w:rsidR="00F16E9C">
        <w:rPr>
          <w:rFonts w:asciiTheme="majorHAnsi" w:hAnsiTheme="majorHAnsi"/>
        </w:rPr>
        <w:t>%</w:t>
      </w:r>
      <w:r w:rsidR="0012543B">
        <w:rPr>
          <w:rFonts w:asciiTheme="majorHAnsi" w:hAnsiTheme="majorHAnsi"/>
        </w:rPr>
        <w:t xml:space="preserve"> </w:t>
      </w:r>
      <w:r w:rsidR="0027651C">
        <w:rPr>
          <w:rFonts w:asciiTheme="majorHAnsi" w:hAnsiTheme="majorHAnsi"/>
        </w:rPr>
        <w:t>.Iako</w:t>
      </w:r>
      <w:r w:rsidR="0012543B">
        <w:rPr>
          <w:rFonts w:asciiTheme="majorHAnsi" w:hAnsiTheme="majorHAnsi"/>
        </w:rPr>
        <w:t xml:space="preserve"> su </w:t>
      </w:r>
      <w:r w:rsidR="00F16E9C">
        <w:rPr>
          <w:rFonts w:asciiTheme="majorHAnsi" w:hAnsiTheme="majorHAnsi"/>
        </w:rPr>
        <w:t>poslovni rashodi veći za 1,0</w:t>
      </w:r>
      <w:r w:rsidR="0012543B">
        <w:rPr>
          <w:rFonts w:asciiTheme="majorHAnsi" w:hAnsiTheme="majorHAnsi"/>
        </w:rPr>
        <w:t>9</w:t>
      </w:r>
      <w:r w:rsidR="00F16E9C">
        <w:rPr>
          <w:rFonts w:asciiTheme="majorHAnsi" w:hAnsiTheme="majorHAnsi"/>
        </w:rPr>
        <w:t xml:space="preserve">%, </w:t>
      </w:r>
      <w:r w:rsidR="00896101">
        <w:rPr>
          <w:rFonts w:asciiTheme="majorHAnsi" w:hAnsiTheme="majorHAnsi"/>
        </w:rPr>
        <w:t>o</w:t>
      </w:r>
      <w:r w:rsidR="00F16E9C">
        <w:rPr>
          <w:rFonts w:asciiTheme="majorHAnsi" w:hAnsiTheme="majorHAnsi"/>
        </w:rPr>
        <w:t>stvarena neto dobit posle oporezovanja je veća za 8%</w:t>
      </w:r>
      <w:r w:rsidR="00886CDA">
        <w:rPr>
          <w:rFonts w:asciiTheme="majorHAnsi" w:hAnsiTheme="majorHAnsi"/>
        </w:rPr>
        <w:t xml:space="preserve"> </w:t>
      </w:r>
      <w:r w:rsidR="002E6C22">
        <w:rPr>
          <w:rFonts w:asciiTheme="majorHAnsi" w:hAnsiTheme="majorHAnsi"/>
        </w:rPr>
        <w:t xml:space="preserve">.Finansijski rezultat u iznosu od 7.702.320KM je razultat stalnih napora </w:t>
      </w:r>
      <w:r w:rsidR="00886CDA">
        <w:rPr>
          <w:rFonts w:asciiTheme="majorHAnsi" w:hAnsiTheme="majorHAnsi"/>
        </w:rPr>
        <w:t xml:space="preserve"> menadžmenta da se sa što manje ulaganja ostvari bolji finansijski rezultat.</w:t>
      </w:r>
      <w:r w:rsidR="00F16E9C">
        <w:rPr>
          <w:rFonts w:asciiTheme="majorHAnsi" w:hAnsiTheme="majorHAnsi"/>
        </w:rPr>
        <w:t>.</w:t>
      </w:r>
    </w:p>
    <w:p w:rsidR="005E4E64" w:rsidRDefault="005E4E64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>Bijeljina,28.02.2016.g.                                                                                                    Direktor</w:t>
      </w:r>
    </w:p>
    <w:p w:rsidR="006F22A1" w:rsidRDefault="006F22A1">
      <w:pPr>
        <w:pStyle w:val="NoSpacing"/>
        <w:tabs>
          <w:tab w:val="left" w:pos="5245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Milenko Mišanović</w:t>
      </w:r>
    </w:p>
    <w:sectPr w:rsidR="006F22A1" w:rsidSect="001D551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0D" w:rsidRDefault="00BE1C0D" w:rsidP="00726E17">
      <w:pPr>
        <w:spacing w:after="0" w:line="240" w:lineRule="auto"/>
      </w:pPr>
      <w:r>
        <w:separator/>
      </w:r>
    </w:p>
  </w:endnote>
  <w:endnote w:type="continuationSeparator" w:id="1">
    <w:p w:rsidR="00BE1C0D" w:rsidRDefault="00BE1C0D" w:rsidP="0072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30"/>
      <w:gridCol w:w="962"/>
      <w:gridCol w:w="4329"/>
    </w:tblGrid>
    <w:tr w:rsidR="00F7134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7134F" w:rsidRDefault="00F71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7134F" w:rsidRDefault="00F7134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65507F" w:rsidRPr="0065507F">
              <w:rPr>
                <w:rFonts w:asciiTheme="majorHAnsi" w:hAnsiTheme="majorHAnsi"/>
                <w:b/>
                <w:noProof/>
              </w:rPr>
              <w:t>8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7134F" w:rsidRDefault="00F71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7134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7134F" w:rsidRDefault="00F71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7134F" w:rsidRDefault="00F7134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7134F" w:rsidRDefault="00F7134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7134F" w:rsidRDefault="00F71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0D" w:rsidRDefault="00BE1C0D" w:rsidP="00726E17">
      <w:pPr>
        <w:spacing w:after="0" w:line="240" w:lineRule="auto"/>
      </w:pPr>
      <w:r>
        <w:separator/>
      </w:r>
    </w:p>
  </w:footnote>
  <w:footnote w:type="continuationSeparator" w:id="1">
    <w:p w:rsidR="00BE1C0D" w:rsidRDefault="00BE1C0D" w:rsidP="0072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4F" w:rsidRPr="000972CA" w:rsidRDefault="00F7134F">
    <w:pPr>
      <w:pStyle w:val="Header"/>
      <w:rPr>
        <w:rFonts w:asciiTheme="majorHAnsi" w:hAnsiTheme="majorHAnsi"/>
        <w:b/>
        <w:sz w:val="26"/>
        <w:szCs w:val="26"/>
        <w:lang w:val="sr-Latn-CS"/>
      </w:rPr>
    </w:pPr>
    <w:r w:rsidRPr="000972CA">
      <w:rPr>
        <w:rFonts w:asciiTheme="majorHAnsi" w:hAnsiTheme="majorHAnsi"/>
        <w:sz w:val="26"/>
        <w:szCs w:val="26"/>
        <w:lang w:val="sr-Latn-CS"/>
      </w:rPr>
      <w:t xml:space="preserve">                          </w:t>
    </w:r>
    <w:r w:rsidRPr="000972CA">
      <w:rPr>
        <w:rFonts w:asciiTheme="majorHAnsi" w:hAnsiTheme="majorHAnsi"/>
        <w:b/>
        <w:sz w:val="26"/>
        <w:szCs w:val="26"/>
        <w:u w:val="single"/>
        <w:lang w:val="sr-Latn-CS"/>
      </w:rPr>
      <w:t>Note uz bilans uspjeha 01.01.2015.-31.12.2015.g</w:t>
    </w:r>
    <w:r w:rsidRPr="000972CA">
      <w:rPr>
        <w:rFonts w:asciiTheme="majorHAnsi" w:hAnsiTheme="majorHAnsi"/>
        <w:b/>
        <w:sz w:val="26"/>
        <w:szCs w:val="26"/>
        <w:lang w:val="sr-Latn-CS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26E17"/>
    <w:rsid w:val="00003CB4"/>
    <w:rsid w:val="00020F83"/>
    <w:rsid w:val="00057756"/>
    <w:rsid w:val="0007287C"/>
    <w:rsid w:val="00074657"/>
    <w:rsid w:val="00082BAE"/>
    <w:rsid w:val="000844FF"/>
    <w:rsid w:val="000877F7"/>
    <w:rsid w:val="00093C79"/>
    <w:rsid w:val="000940DA"/>
    <w:rsid w:val="00096FF3"/>
    <w:rsid w:val="000972CA"/>
    <w:rsid w:val="000A02E5"/>
    <w:rsid w:val="000B4ABC"/>
    <w:rsid w:val="000C7CD6"/>
    <w:rsid w:val="000F463D"/>
    <w:rsid w:val="000F7A71"/>
    <w:rsid w:val="001144C1"/>
    <w:rsid w:val="001206F7"/>
    <w:rsid w:val="0012355C"/>
    <w:rsid w:val="0012543B"/>
    <w:rsid w:val="00160BF0"/>
    <w:rsid w:val="001614CF"/>
    <w:rsid w:val="00170584"/>
    <w:rsid w:val="0017080D"/>
    <w:rsid w:val="001818F9"/>
    <w:rsid w:val="001911E1"/>
    <w:rsid w:val="001917F3"/>
    <w:rsid w:val="001A487E"/>
    <w:rsid w:val="001A7BDD"/>
    <w:rsid w:val="001B053A"/>
    <w:rsid w:val="001B41D2"/>
    <w:rsid w:val="001C0F58"/>
    <w:rsid w:val="001C4452"/>
    <w:rsid w:val="001D5514"/>
    <w:rsid w:val="001D79C5"/>
    <w:rsid w:val="001E38B7"/>
    <w:rsid w:val="001E4D2F"/>
    <w:rsid w:val="002355D2"/>
    <w:rsid w:val="00260806"/>
    <w:rsid w:val="0026177B"/>
    <w:rsid w:val="00265136"/>
    <w:rsid w:val="0027651C"/>
    <w:rsid w:val="002927DB"/>
    <w:rsid w:val="002A4946"/>
    <w:rsid w:val="002A7CC1"/>
    <w:rsid w:val="002B0C33"/>
    <w:rsid w:val="002B351B"/>
    <w:rsid w:val="002C0460"/>
    <w:rsid w:val="002C127C"/>
    <w:rsid w:val="002C7311"/>
    <w:rsid w:val="002E6C22"/>
    <w:rsid w:val="00303F20"/>
    <w:rsid w:val="00305825"/>
    <w:rsid w:val="003136EF"/>
    <w:rsid w:val="00316EC0"/>
    <w:rsid w:val="00331335"/>
    <w:rsid w:val="00334E97"/>
    <w:rsid w:val="0034182B"/>
    <w:rsid w:val="00345A0A"/>
    <w:rsid w:val="00351712"/>
    <w:rsid w:val="0035503E"/>
    <w:rsid w:val="00357B46"/>
    <w:rsid w:val="003678AE"/>
    <w:rsid w:val="00370B0F"/>
    <w:rsid w:val="0037124B"/>
    <w:rsid w:val="00384719"/>
    <w:rsid w:val="003A007B"/>
    <w:rsid w:val="003A1A18"/>
    <w:rsid w:val="003A6E22"/>
    <w:rsid w:val="003A7CCF"/>
    <w:rsid w:val="003B2129"/>
    <w:rsid w:val="003C5107"/>
    <w:rsid w:val="003D2735"/>
    <w:rsid w:val="003D7937"/>
    <w:rsid w:val="00406920"/>
    <w:rsid w:val="00426473"/>
    <w:rsid w:val="00436D1D"/>
    <w:rsid w:val="00455101"/>
    <w:rsid w:val="004557C6"/>
    <w:rsid w:val="00470BF2"/>
    <w:rsid w:val="004779E2"/>
    <w:rsid w:val="00477A94"/>
    <w:rsid w:val="004855DC"/>
    <w:rsid w:val="00485C3D"/>
    <w:rsid w:val="00485EBE"/>
    <w:rsid w:val="004917E8"/>
    <w:rsid w:val="00493479"/>
    <w:rsid w:val="004C122B"/>
    <w:rsid w:val="004C13E7"/>
    <w:rsid w:val="004D6ACC"/>
    <w:rsid w:val="004D77A4"/>
    <w:rsid w:val="004E7A98"/>
    <w:rsid w:val="004F25C6"/>
    <w:rsid w:val="00503CEE"/>
    <w:rsid w:val="0051544E"/>
    <w:rsid w:val="00517FD8"/>
    <w:rsid w:val="0052266E"/>
    <w:rsid w:val="0054159B"/>
    <w:rsid w:val="00552CA2"/>
    <w:rsid w:val="00573CFA"/>
    <w:rsid w:val="00580F53"/>
    <w:rsid w:val="005978CF"/>
    <w:rsid w:val="005B2D96"/>
    <w:rsid w:val="005C2689"/>
    <w:rsid w:val="005C2C9B"/>
    <w:rsid w:val="005E4E64"/>
    <w:rsid w:val="005E587A"/>
    <w:rsid w:val="006104F6"/>
    <w:rsid w:val="006117AF"/>
    <w:rsid w:val="00612819"/>
    <w:rsid w:val="00621871"/>
    <w:rsid w:val="00631DC1"/>
    <w:rsid w:val="00635110"/>
    <w:rsid w:val="00641B31"/>
    <w:rsid w:val="00650AC5"/>
    <w:rsid w:val="0065507F"/>
    <w:rsid w:val="006711C8"/>
    <w:rsid w:val="0067783A"/>
    <w:rsid w:val="006A3741"/>
    <w:rsid w:val="006A4EF0"/>
    <w:rsid w:val="006B04F2"/>
    <w:rsid w:val="006D0C87"/>
    <w:rsid w:val="006E2140"/>
    <w:rsid w:val="006E5AFE"/>
    <w:rsid w:val="006F22A1"/>
    <w:rsid w:val="00710DEE"/>
    <w:rsid w:val="00716C1C"/>
    <w:rsid w:val="00725906"/>
    <w:rsid w:val="00726E17"/>
    <w:rsid w:val="00740CF9"/>
    <w:rsid w:val="00756F76"/>
    <w:rsid w:val="00757B47"/>
    <w:rsid w:val="00772145"/>
    <w:rsid w:val="00775D5E"/>
    <w:rsid w:val="007A6217"/>
    <w:rsid w:val="007C6E8A"/>
    <w:rsid w:val="007D2E42"/>
    <w:rsid w:val="007E0235"/>
    <w:rsid w:val="00805F5F"/>
    <w:rsid w:val="008206E6"/>
    <w:rsid w:val="00826294"/>
    <w:rsid w:val="008430E9"/>
    <w:rsid w:val="008455DE"/>
    <w:rsid w:val="00854E08"/>
    <w:rsid w:val="00857502"/>
    <w:rsid w:val="00870C31"/>
    <w:rsid w:val="00886824"/>
    <w:rsid w:val="00886CDA"/>
    <w:rsid w:val="00896101"/>
    <w:rsid w:val="008A0DED"/>
    <w:rsid w:val="008A184D"/>
    <w:rsid w:val="008A5A15"/>
    <w:rsid w:val="008C3DFF"/>
    <w:rsid w:val="008C4931"/>
    <w:rsid w:val="008D072C"/>
    <w:rsid w:val="008F2753"/>
    <w:rsid w:val="00902F1F"/>
    <w:rsid w:val="00920885"/>
    <w:rsid w:val="00946943"/>
    <w:rsid w:val="009679C4"/>
    <w:rsid w:val="00967D2D"/>
    <w:rsid w:val="0097146F"/>
    <w:rsid w:val="00972A19"/>
    <w:rsid w:val="00977F0C"/>
    <w:rsid w:val="009B1D57"/>
    <w:rsid w:val="009B24FF"/>
    <w:rsid w:val="009D529F"/>
    <w:rsid w:val="009D6D6B"/>
    <w:rsid w:val="009E45F9"/>
    <w:rsid w:val="009F4FDF"/>
    <w:rsid w:val="009F5CAA"/>
    <w:rsid w:val="009F7279"/>
    <w:rsid w:val="00A02883"/>
    <w:rsid w:val="00A05B57"/>
    <w:rsid w:val="00A10D6F"/>
    <w:rsid w:val="00A25FC3"/>
    <w:rsid w:val="00A33625"/>
    <w:rsid w:val="00A42918"/>
    <w:rsid w:val="00A71A6D"/>
    <w:rsid w:val="00A73A6E"/>
    <w:rsid w:val="00A74696"/>
    <w:rsid w:val="00A80F7F"/>
    <w:rsid w:val="00A82DCB"/>
    <w:rsid w:val="00A85894"/>
    <w:rsid w:val="00A85E15"/>
    <w:rsid w:val="00AA2023"/>
    <w:rsid w:val="00AA23E1"/>
    <w:rsid w:val="00AE58A8"/>
    <w:rsid w:val="00AE69F7"/>
    <w:rsid w:val="00B0456F"/>
    <w:rsid w:val="00B139D5"/>
    <w:rsid w:val="00B5329E"/>
    <w:rsid w:val="00B722AE"/>
    <w:rsid w:val="00BB340D"/>
    <w:rsid w:val="00BB3D9E"/>
    <w:rsid w:val="00BE1C0D"/>
    <w:rsid w:val="00BE6613"/>
    <w:rsid w:val="00BF21E6"/>
    <w:rsid w:val="00BF4AC1"/>
    <w:rsid w:val="00C12012"/>
    <w:rsid w:val="00C22C43"/>
    <w:rsid w:val="00C30476"/>
    <w:rsid w:val="00C404A7"/>
    <w:rsid w:val="00C6109E"/>
    <w:rsid w:val="00C8678A"/>
    <w:rsid w:val="00C87A77"/>
    <w:rsid w:val="00C95846"/>
    <w:rsid w:val="00CB01FA"/>
    <w:rsid w:val="00CB48F1"/>
    <w:rsid w:val="00CD2700"/>
    <w:rsid w:val="00CE5E8F"/>
    <w:rsid w:val="00CF6782"/>
    <w:rsid w:val="00D15247"/>
    <w:rsid w:val="00D244D7"/>
    <w:rsid w:val="00D42EDE"/>
    <w:rsid w:val="00D76B4C"/>
    <w:rsid w:val="00D9751A"/>
    <w:rsid w:val="00DA062E"/>
    <w:rsid w:val="00DA59F3"/>
    <w:rsid w:val="00DB5BB6"/>
    <w:rsid w:val="00DB68E6"/>
    <w:rsid w:val="00DB6F81"/>
    <w:rsid w:val="00DD0B7F"/>
    <w:rsid w:val="00DE280E"/>
    <w:rsid w:val="00E116C1"/>
    <w:rsid w:val="00E16A67"/>
    <w:rsid w:val="00E172AA"/>
    <w:rsid w:val="00E26E38"/>
    <w:rsid w:val="00E81D5A"/>
    <w:rsid w:val="00E943B5"/>
    <w:rsid w:val="00EA6F90"/>
    <w:rsid w:val="00EB3D44"/>
    <w:rsid w:val="00EB6536"/>
    <w:rsid w:val="00EF1890"/>
    <w:rsid w:val="00F16E9C"/>
    <w:rsid w:val="00F26495"/>
    <w:rsid w:val="00F333A8"/>
    <w:rsid w:val="00F3659C"/>
    <w:rsid w:val="00F64BBA"/>
    <w:rsid w:val="00F7134F"/>
    <w:rsid w:val="00F730A1"/>
    <w:rsid w:val="00F9346A"/>
    <w:rsid w:val="00FB0CC5"/>
    <w:rsid w:val="00FC7278"/>
    <w:rsid w:val="00FD17FF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6E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E17"/>
  </w:style>
  <w:style w:type="paragraph" w:styleId="Footer">
    <w:name w:val="footer"/>
    <w:basedOn w:val="Normal"/>
    <w:link w:val="FooterChar"/>
    <w:uiPriority w:val="99"/>
    <w:semiHidden/>
    <w:unhideWhenUsed/>
    <w:rsid w:val="00726E17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E17"/>
  </w:style>
  <w:style w:type="paragraph" w:styleId="ListParagraph">
    <w:name w:val="List Paragraph"/>
    <w:basedOn w:val="Normal"/>
    <w:uiPriority w:val="34"/>
    <w:qFormat/>
    <w:rsid w:val="00367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A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1481-0C50-491D-B190-D3E1DDE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9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201</cp:revision>
  <cp:lastPrinted>2016-02-16T09:15:00Z</cp:lastPrinted>
  <dcterms:created xsi:type="dcterms:W3CDTF">2016-02-12T12:45:00Z</dcterms:created>
  <dcterms:modified xsi:type="dcterms:W3CDTF">2016-02-29T09:41:00Z</dcterms:modified>
</cp:coreProperties>
</file>