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82" w:rsidRPr="00364882" w:rsidRDefault="00364882" w:rsidP="00364882">
      <w:pPr>
        <w:rPr>
          <w:lang w:val="sr-Cyrl-CS"/>
        </w:rPr>
      </w:pPr>
    </w:p>
    <w:p w:rsidR="00364882" w:rsidRPr="00830D28" w:rsidRDefault="00830D28" w:rsidP="00364882">
      <w:pPr>
        <w:rPr>
          <w:b/>
          <w:sz w:val="20"/>
          <w:szCs w:val="20"/>
          <w:lang w:val="sr-Latn-CS"/>
        </w:rPr>
      </w:pPr>
      <w:r w:rsidRPr="00830D28">
        <w:rPr>
          <w:b/>
          <w:sz w:val="20"/>
          <w:szCs w:val="20"/>
          <w:lang w:val="sr-Latn-CS"/>
        </w:rPr>
        <w:t xml:space="preserve">NEŠKOVIĆ OSIGURANJE AD </w:t>
      </w:r>
    </w:p>
    <w:p w:rsidR="00830D28" w:rsidRPr="00830D28" w:rsidRDefault="00830D28" w:rsidP="00364882">
      <w:pPr>
        <w:rPr>
          <w:b/>
          <w:sz w:val="20"/>
          <w:szCs w:val="20"/>
          <w:lang w:val="sr-Latn-CS"/>
        </w:rPr>
      </w:pPr>
      <w:r w:rsidRPr="00830D28">
        <w:rPr>
          <w:b/>
          <w:sz w:val="20"/>
          <w:szCs w:val="20"/>
          <w:lang w:val="sr-Latn-CS"/>
        </w:rPr>
        <w:t>BIJELJINA</w:t>
      </w:r>
    </w:p>
    <w:p w:rsidR="00830D28" w:rsidRPr="00830D28" w:rsidRDefault="00830D28" w:rsidP="00364882">
      <w:pPr>
        <w:rPr>
          <w:b/>
          <w:sz w:val="20"/>
          <w:szCs w:val="20"/>
          <w:lang w:val="sr-Latn-CS"/>
        </w:rPr>
      </w:pPr>
      <w:r w:rsidRPr="00830D28">
        <w:rPr>
          <w:b/>
          <w:sz w:val="20"/>
          <w:szCs w:val="20"/>
          <w:lang w:val="sr-Latn-CS"/>
        </w:rPr>
        <w:t>Sremska 3</w:t>
      </w:r>
    </w:p>
    <w:p w:rsidR="00364882" w:rsidRPr="00830D28" w:rsidRDefault="00364882" w:rsidP="00364882">
      <w:pPr>
        <w:rPr>
          <w:b/>
          <w:sz w:val="20"/>
          <w:szCs w:val="20"/>
          <w:lang w:val="sr-Cyrl-CS"/>
        </w:rPr>
      </w:pPr>
      <w:r w:rsidRPr="00830D28">
        <w:rPr>
          <w:b/>
          <w:sz w:val="20"/>
          <w:szCs w:val="20"/>
          <w:lang w:val="sr-Cyrl-CS"/>
        </w:rPr>
        <w:t>ЈИБ 4400330410003</w:t>
      </w:r>
    </w:p>
    <w:p w:rsidR="00364882" w:rsidRDefault="00364882" w:rsidP="00364882">
      <w:pPr>
        <w:rPr>
          <w:lang w:val="sr-Cyrl-CS"/>
        </w:rPr>
      </w:pPr>
    </w:p>
    <w:p w:rsidR="00364882" w:rsidRDefault="00364882" w:rsidP="00364882">
      <w:pPr>
        <w:rPr>
          <w:lang w:val="sr-Cyrl-CS"/>
        </w:rPr>
      </w:pPr>
    </w:p>
    <w:p w:rsidR="00364882" w:rsidRDefault="00364882" w:rsidP="00364882">
      <w:pPr>
        <w:rPr>
          <w:lang w:val="sr-Cyrl-CS"/>
        </w:rPr>
      </w:pPr>
    </w:p>
    <w:p w:rsidR="00364882" w:rsidRPr="00364882" w:rsidRDefault="00364882" w:rsidP="00364882">
      <w:pPr>
        <w:rPr>
          <w:lang w:val="sr-Cyrl-CS"/>
        </w:rPr>
      </w:pPr>
    </w:p>
    <w:p w:rsidR="00E67B7A" w:rsidRPr="001E612C" w:rsidRDefault="00123967" w:rsidP="00E67B7A">
      <w:pPr>
        <w:pStyle w:val="Caption"/>
        <w:spacing w:after="0"/>
        <w:contextualSpacing/>
        <w:jc w:val="both"/>
        <w:rPr>
          <w:rFonts w:asciiTheme="majorHAnsi" w:hAnsiTheme="majorHAnsi"/>
          <w:bCs w:val="0"/>
          <w:color w:val="auto"/>
          <w:sz w:val="22"/>
          <w:szCs w:val="22"/>
          <w:lang w:val="sr-Latn-CS"/>
        </w:rPr>
      </w:pPr>
      <w:bookmarkStart w:id="0" w:name="_Toc414267879"/>
      <w:r w:rsidRPr="001E612C">
        <w:rPr>
          <w:bCs w:val="0"/>
          <w:color w:val="auto"/>
          <w:sz w:val="22"/>
          <w:szCs w:val="22"/>
          <w:lang w:val="sr-Latn-CS"/>
        </w:rPr>
        <w:t xml:space="preserve">    </w:t>
      </w:r>
      <w:r w:rsidRPr="001E612C">
        <w:rPr>
          <w:rFonts w:asciiTheme="majorHAnsi" w:hAnsiTheme="majorHAnsi"/>
          <w:bCs w:val="0"/>
          <w:color w:val="auto"/>
          <w:sz w:val="22"/>
          <w:szCs w:val="22"/>
          <w:lang w:val="sr-Latn-CS"/>
        </w:rPr>
        <w:t>O Društvu</w:t>
      </w:r>
    </w:p>
    <w:p w:rsidR="00E67B7A" w:rsidRPr="00581976" w:rsidRDefault="00E67B7A" w:rsidP="00E67B7A">
      <w:pPr>
        <w:rPr>
          <w:lang w:val="sr-Latn-CS"/>
        </w:rPr>
      </w:pPr>
    </w:p>
    <w:p w:rsidR="00E67B7A" w:rsidRPr="00DA7629" w:rsidRDefault="00E67B7A" w:rsidP="00216DF0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Rješenjem Osnovnog 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s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u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da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u Bijeljini od 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d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ana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20.02.1997. 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godine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, 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oznaka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i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bro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j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upisnika 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s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u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da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881AB2">
        <w:rPr>
          <w:rFonts w:asciiTheme="majorHAnsi" w:hAnsiTheme="majorHAnsi"/>
          <w:b w:val="0"/>
          <w:color w:val="auto"/>
          <w:sz w:val="22"/>
          <w:szCs w:val="22"/>
        </w:rPr>
        <w:t>Fi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– 137/97, </w:t>
      </w:r>
      <w:r w:rsidR="00123967" w:rsidRPr="00DA7629">
        <w:rPr>
          <w:rFonts w:asciiTheme="majorHAnsi" w:hAnsiTheme="majorHAnsi"/>
          <w:b w:val="0"/>
          <w:color w:val="auto"/>
          <w:sz w:val="22"/>
          <w:szCs w:val="22"/>
        </w:rPr>
        <w:t>bro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j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registarskog uloška registarskog </w:t>
      </w:r>
      <w:r w:rsidR="004E0F9E" w:rsidRPr="00DA7629">
        <w:rPr>
          <w:rFonts w:asciiTheme="majorHAnsi" w:hAnsiTheme="majorHAnsi"/>
          <w:b w:val="0"/>
          <w:color w:val="auto"/>
          <w:sz w:val="22"/>
          <w:szCs w:val="22"/>
        </w:rPr>
        <w:t>s</w:t>
      </w:r>
      <w:r w:rsidR="00787F46">
        <w:rPr>
          <w:rFonts w:asciiTheme="majorHAnsi" w:hAnsiTheme="majorHAnsi"/>
          <w:b w:val="0"/>
          <w:color w:val="auto"/>
          <w:sz w:val="22"/>
          <w:szCs w:val="22"/>
        </w:rPr>
        <w:t>u</w:t>
      </w:r>
      <w:r w:rsidR="004E0F9E" w:rsidRPr="00DA7629">
        <w:rPr>
          <w:rFonts w:asciiTheme="majorHAnsi" w:hAnsiTheme="majorHAnsi"/>
          <w:b w:val="0"/>
          <w:color w:val="auto"/>
          <w:sz w:val="22"/>
          <w:szCs w:val="22"/>
        </w:rPr>
        <w:t>da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: 1 – 3908, a </w:t>
      </w:r>
      <w:r w:rsidR="00366B62">
        <w:rPr>
          <w:rFonts w:asciiTheme="majorHAnsi" w:hAnsiTheme="majorHAnsi"/>
          <w:b w:val="0"/>
          <w:color w:val="auto"/>
          <w:sz w:val="22"/>
          <w:szCs w:val="22"/>
        </w:rPr>
        <w:t>na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osnovu Rješenja nadležnog ministarstva o davanju saglasnosti za osnivanje društva, izvršen je upis osnivanja Organizacije za osiguranje „Nešković“ d.d. sa sjedištem u Bijeljini, ulica Sremska bb. </w:t>
      </w:r>
    </w:p>
    <w:p w:rsidR="00E67B7A" w:rsidRPr="00DA7629" w:rsidRDefault="00E67B7A" w:rsidP="00216DF0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Danas Društvo posluje kao Akcionarsko društvo za osiguranje „Nešković osiguranje“ Bijeljina, ulica Sremska </w:t>
      </w:r>
      <w:r w:rsidR="001E612C" w:rsidRPr="00DA7629">
        <w:rPr>
          <w:rFonts w:asciiTheme="majorHAnsi" w:hAnsiTheme="majorHAnsi"/>
          <w:b w:val="0"/>
          <w:color w:val="auto"/>
          <w:sz w:val="22"/>
          <w:szCs w:val="22"/>
        </w:rPr>
        <w:t>bro</w:t>
      </w:r>
      <w:r w:rsidR="00366B62">
        <w:rPr>
          <w:rFonts w:asciiTheme="majorHAnsi" w:hAnsiTheme="majorHAnsi"/>
          <w:b w:val="0"/>
          <w:color w:val="auto"/>
          <w:sz w:val="22"/>
          <w:szCs w:val="22"/>
        </w:rPr>
        <w:t>j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 3 (u daljem tekstu Društvo).</w:t>
      </w:r>
    </w:p>
    <w:p w:rsidR="00E67B7A" w:rsidRPr="00DA7629" w:rsidRDefault="00E67B7A" w:rsidP="00216DF0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DA7629">
        <w:rPr>
          <w:rFonts w:asciiTheme="majorHAnsi" w:hAnsiTheme="majorHAnsi"/>
          <w:b w:val="0"/>
          <w:color w:val="auto"/>
          <w:sz w:val="22"/>
          <w:szCs w:val="22"/>
        </w:rPr>
        <w:t xml:space="preserve">Sa Centralnim registrom hartija od vrijednosti a.d. Republike Srpske zaključen je Ugovor o registraciji HOV i vođenju računa emitenta </w:t>
      </w:r>
      <w:r w:rsidR="001E612C" w:rsidRPr="00DA7629">
        <w:rPr>
          <w:rFonts w:asciiTheme="majorHAnsi" w:hAnsiTheme="majorHAnsi"/>
          <w:b w:val="0"/>
          <w:color w:val="auto"/>
          <w:sz w:val="22"/>
          <w:szCs w:val="22"/>
        </w:rPr>
        <w:t>bro</w:t>
      </w:r>
      <w:r w:rsidR="00366B62">
        <w:rPr>
          <w:rFonts w:asciiTheme="majorHAnsi" w:hAnsiTheme="majorHAnsi"/>
          <w:b w:val="0"/>
          <w:color w:val="auto"/>
          <w:sz w:val="22"/>
          <w:szCs w:val="22"/>
        </w:rPr>
        <w:t>j</w:t>
      </w:r>
      <w:r w:rsidRPr="00DA7629">
        <w:rPr>
          <w:rFonts w:asciiTheme="majorHAnsi" w:hAnsiTheme="majorHAnsi"/>
          <w:b w:val="0"/>
          <w:color w:val="auto"/>
          <w:sz w:val="22"/>
          <w:szCs w:val="22"/>
        </w:rPr>
        <w:t>: 04 – 178/2002 od dana 29.05.2002. godine, a kojim su uređeni međusobni odnosi iz osnova registracije HOV i vođenja knjige akcionara.</w:t>
      </w:r>
    </w:p>
    <w:p w:rsidR="00E67B7A" w:rsidRPr="00DA7629" w:rsidRDefault="00E67B7A" w:rsidP="00216DF0">
      <w:pPr>
        <w:spacing w:line="276" w:lineRule="auto"/>
        <w:ind w:firstLine="720"/>
        <w:contextualSpacing/>
        <w:jc w:val="both"/>
        <w:rPr>
          <w:rFonts w:asciiTheme="majorHAnsi" w:hAnsiTheme="majorHAnsi"/>
        </w:rPr>
      </w:pPr>
      <w:r w:rsidRPr="00DA7629">
        <w:rPr>
          <w:rFonts w:asciiTheme="majorHAnsi" w:hAnsiTheme="majorHAnsi"/>
        </w:rPr>
        <w:t xml:space="preserve">Visina </w:t>
      </w:r>
      <w:r w:rsidR="003770F6" w:rsidRPr="00DA7629">
        <w:rPr>
          <w:rFonts w:asciiTheme="majorHAnsi" w:hAnsiTheme="majorHAnsi"/>
        </w:rPr>
        <w:t>upis</w:t>
      </w:r>
      <w:r w:rsidR="004A40EA">
        <w:rPr>
          <w:rFonts w:asciiTheme="majorHAnsi" w:hAnsiTheme="majorHAnsi"/>
        </w:rPr>
        <w:t>anog</w:t>
      </w:r>
      <w:r w:rsidRPr="00DA7629">
        <w:rPr>
          <w:rFonts w:asciiTheme="majorHAnsi" w:hAnsiTheme="majorHAnsi"/>
        </w:rPr>
        <w:t xml:space="preserve"> osnovnog kapitala</w:t>
      </w:r>
      <w:r w:rsidRPr="00763B3C">
        <w:rPr>
          <w:rFonts w:asciiTheme="majorHAnsi" w:hAnsiTheme="majorHAnsi"/>
          <w:lang w:val="en-BZ"/>
        </w:rPr>
        <w:t xml:space="preserve"> </w:t>
      </w:r>
      <w:r w:rsidR="00366B62">
        <w:rPr>
          <w:rFonts w:asciiTheme="majorHAnsi" w:hAnsiTheme="majorHAnsi"/>
          <w:lang w:val="en-BZ"/>
        </w:rPr>
        <w:t>na</w:t>
      </w:r>
      <w:r w:rsidRPr="00DA7629">
        <w:rPr>
          <w:rFonts w:asciiTheme="majorHAnsi" w:hAnsiTheme="majorHAnsi"/>
        </w:rPr>
        <w:t xml:space="preserve"> dan 31.12.201</w:t>
      </w:r>
      <w:r>
        <w:rPr>
          <w:rFonts w:asciiTheme="majorHAnsi" w:hAnsiTheme="majorHAnsi"/>
          <w:lang w:val="sr-Cyrl-CS"/>
        </w:rPr>
        <w:t>5</w:t>
      </w:r>
      <w:r w:rsidRPr="00DA7629">
        <w:rPr>
          <w:rFonts w:asciiTheme="majorHAnsi" w:hAnsiTheme="majorHAnsi"/>
        </w:rPr>
        <w:t xml:space="preserve">. godine iznosi </w:t>
      </w:r>
      <w:r w:rsidRPr="004A40EA">
        <w:rPr>
          <w:rFonts w:asciiTheme="majorHAnsi" w:hAnsiTheme="majorHAnsi"/>
          <w:sz w:val="22"/>
          <w:szCs w:val="22"/>
          <w:lang w:val="sr-Cyrl-CS"/>
        </w:rPr>
        <w:t>9</w:t>
      </w:r>
      <w:r w:rsidRPr="004A40EA">
        <w:rPr>
          <w:rFonts w:asciiTheme="majorHAnsi" w:hAnsiTheme="majorHAnsi"/>
          <w:sz w:val="22"/>
          <w:szCs w:val="22"/>
        </w:rPr>
        <w:t>.000.000,00KM</w:t>
      </w:r>
      <w:r w:rsidRPr="00DA7629">
        <w:rPr>
          <w:rFonts w:asciiTheme="majorHAnsi" w:hAnsiTheme="majorHAnsi"/>
        </w:rPr>
        <w:t xml:space="preserve"> (</w:t>
      </w:r>
      <w:r w:rsidRPr="004A40EA">
        <w:rPr>
          <w:rFonts w:asciiTheme="majorHAnsi" w:hAnsiTheme="majorHAnsi"/>
          <w:sz w:val="22"/>
          <w:szCs w:val="22"/>
        </w:rPr>
        <w:t>4</w:t>
      </w:r>
      <w:r w:rsidR="007E6C1C" w:rsidRPr="004A40EA">
        <w:rPr>
          <w:rFonts w:asciiTheme="majorHAnsi" w:hAnsiTheme="majorHAnsi"/>
          <w:sz w:val="22"/>
          <w:szCs w:val="22"/>
          <w:lang w:val="sr-Cyrl-CS"/>
        </w:rPr>
        <w:t>5</w:t>
      </w:r>
      <w:r w:rsidRPr="004A40EA">
        <w:rPr>
          <w:rFonts w:asciiTheme="majorHAnsi" w:hAnsiTheme="majorHAnsi"/>
          <w:sz w:val="22"/>
          <w:szCs w:val="22"/>
        </w:rPr>
        <w:t>00</w:t>
      </w:r>
      <w:r w:rsidRPr="00DA7629">
        <w:rPr>
          <w:rFonts w:asciiTheme="majorHAnsi" w:hAnsiTheme="majorHAnsi"/>
        </w:rPr>
        <w:t xml:space="preserve"> redovnih hartija klase A, nominalne vrijednosti jedne hartije </w:t>
      </w:r>
      <w:r w:rsidRPr="006808B2">
        <w:rPr>
          <w:rFonts w:asciiTheme="majorHAnsi" w:hAnsiTheme="majorHAnsi"/>
          <w:sz w:val="20"/>
          <w:szCs w:val="20"/>
        </w:rPr>
        <w:t>2.000,00KM</w:t>
      </w:r>
      <w:r w:rsidRPr="00DA7629">
        <w:rPr>
          <w:rFonts w:asciiTheme="majorHAnsi" w:hAnsiTheme="majorHAnsi"/>
        </w:rPr>
        <w:t xml:space="preserve">, lokalna oznaka hartije: </w:t>
      </w:r>
      <w:r w:rsidRPr="004A40EA">
        <w:rPr>
          <w:rFonts w:asciiTheme="majorHAnsi" w:hAnsiTheme="majorHAnsi"/>
          <w:sz w:val="22"/>
          <w:szCs w:val="22"/>
        </w:rPr>
        <w:t>NKOS-R-A</w:t>
      </w:r>
      <w:r w:rsidRPr="00DA7629">
        <w:rPr>
          <w:rFonts w:asciiTheme="majorHAnsi" w:hAnsiTheme="majorHAnsi"/>
        </w:rPr>
        <w:t>).</w:t>
      </w:r>
    </w:p>
    <w:p w:rsidR="00E67B7A" w:rsidRDefault="00E67B7A" w:rsidP="00216DF0">
      <w:pPr>
        <w:spacing w:line="276" w:lineRule="auto"/>
        <w:ind w:firstLine="720"/>
        <w:contextualSpacing/>
        <w:jc w:val="both"/>
        <w:rPr>
          <w:rFonts w:asciiTheme="majorHAnsi" w:hAnsiTheme="majorHAnsi"/>
        </w:rPr>
      </w:pPr>
    </w:p>
    <w:bookmarkEnd w:id="0"/>
    <w:p w:rsidR="00E67B7A" w:rsidRDefault="00E67B7A" w:rsidP="00E67B7A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E46686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244"/>
        <w:gridCol w:w="1560"/>
        <w:gridCol w:w="1149"/>
      </w:tblGrid>
      <w:tr w:rsidR="00E67B7A" w:rsidRPr="0064025F" w:rsidTr="00244BC8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E67B7A" w:rsidRPr="0064025F" w:rsidTr="00244BC8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E67B7A" w:rsidRPr="0064025F" w:rsidTr="00244BC8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E67B7A" w:rsidRPr="0064025F" w:rsidTr="00244BC8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E67B7A" w:rsidRPr="0064025F" w:rsidTr="00244BC8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 xml:space="preserve">Matični </w:t>
            </w:r>
            <w:r w:rsidR="001E612C" w:rsidRPr="00422C09">
              <w:rPr>
                <w:rFonts w:asciiTheme="majorHAnsi" w:hAnsiTheme="majorHAnsi"/>
                <w:b/>
                <w:sz w:val="19"/>
                <w:szCs w:val="19"/>
              </w:rPr>
              <w:t>brow</w:t>
            </w: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E67B7A" w:rsidRPr="0064025F" w:rsidTr="00244BC8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E67B7A" w:rsidRPr="0064025F" w:rsidTr="00244BC8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E67B7A" w:rsidRPr="0064025F" w:rsidTr="00244BC8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:rsidR="00E67B7A" w:rsidRPr="00F16DC7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:rsidR="00E67B7A" w:rsidRPr="00F16DC7" w:rsidRDefault="00317B1B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8.860</w:t>
            </w:r>
            <w:r w:rsidR="00E67B7A"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E67B7A" w:rsidRPr="00F16DC7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</w:t>
            </w:r>
            <w:r w:rsidR="00317B1B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</w:t>
            </w: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%</w:t>
            </w:r>
          </w:p>
        </w:tc>
      </w:tr>
      <w:tr w:rsidR="00E67B7A" w:rsidRPr="0064025F" w:rsidTr="00244BC8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:rsidR="00E67B7A" w:rsidRPr="00F16DC7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:rsidR="00E67B7A" w:rsidRPr="00F16DC7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317B1B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40</w:t>
            </w: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E67B7A" w:rsidRPr="00F16DC7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</w:t>
            </w:r>
            <w:r w:rsidR="00317B1B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6</w:t>
            </w:r>
            <w:r w:rsidRPr="00F16DC7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%</w:t>
            </w:r>
          </w:p>
        </w:tc>
      </w:tr>
      <w:tr w:rsidR="00E67B7A" w:rsidRPr="0064025F" w:rsidTr="00244BC8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E67B7A" w:rsidRPr="0064025F" w:rsidTr="00244BC8">
        <w:trPr>
          <w:trHeight w:hRule="exact" w:val="98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E67B7A" w:rsidRPr="0064025F" w:rsidTr="00244BC8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E67B7A" w:rsidRPr="0064025F" w:rsidTr="00216DF0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E67B7A" w:rsidRPr="0064025F" w:rsidTr="00244BC8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</w:t>
            </w: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istar Osnovnog suda u Bijeljini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E67B7A" w:rsidRPr="0064025F" w:rsidTr="00244BC8">
        <w:trPr>
          <w:trHeight w:hRule="exact" w:val="12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B00ECD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E67B7A" w:rsidRPr="0064025F" w:rsidTr="00216DF0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E67B7A" w:rsidRPr="0064025F" w:rsidTr="00244BC8">
        <w:trPr>
          <w:trHeight w:hRule="exact" w:val="1273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E67B7A" w:rsidRPr="00422C09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E67B7A" w:rsidRPr="00B00ECD" w:rsidRDefault="00E67B7A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B32084" w:rsidRPr="0064025F" w:rsidTr="00244BC8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B32084" w:rsidRPr="0064025F" w:rsidTr="00244BC8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Upis povećanja osnovnog kapitala Društva </w:t>
            </w: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osmom</w:t>
            </w: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B32084" w:rsidRPr="00123967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123967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B00ECD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123967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B32084" w:rsidRPr="00B00ECD" w:rsidRDefault="00123967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B32084" w:rsidRPr="0064025F" w:rsidTr="00244BC8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422C09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B32084" w:rsidRPr="0064025F" w:rsidTr="00244BC8">
        <w:trPr>
          <w:trHeight w:val="23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B32084" w:rsidRPr="0064025F" w:rsidTr="00244BC8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B00ECD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roj 15570 od 09.09.2014.. godine, Društvo je svoju </w:t>
            </w: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>poslovnu djelatnost obavljalo preko ukupno: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:rsidR="00B32084" w:rsidRPr="00B00ECD" w:rsidRDefault="00B32084" w:rsidP="004A40EA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4A40EA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</w:t>
            </w: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B32084" w:rsidRPr="0064025F" w:rsidTr="00244BC8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Lica na značajnom položaju:</w:t>
            </w:r>
          </w:p>
        </w:tc>
        <w:tc>
          <w:tcPr>
            <w:tcW w:w="7953" w:type="dxa"/>
            <w:gridSpan w:val="3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</w:t>
            </w: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: Milenko Mišanović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Predsjednik UO: Risto Vuković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Član UO: Milan Trišić</w:t>
            </w:r>
          </w:p>
          <w:p w:rsidR="00B32084" w:rsidRPr="00E67B7A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DE35D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Mladenka Blagojević</w:t>
            </w:r>
          </w:p>
          <w:p w:rsidR="00B32084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B32084" w:rsidRPr="0064025F" w:rsidTr="00244BC8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Eksterni revizor i aktuar:</w:t>
            </w:r>
          </w:p>
        </w:tc>
        <w:tc>
          <w:tcPr>
            <w:tcW w:w="7953" w:type="dxa"/>
            <w:gridSpan w:val="3"/>
          </w:tcPr>
          <w:p w:rsidR="00B32084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</w:t>
            </w:r>
            <w:r w:rsidR="00314FD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sio</w:t>
            </w: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d.o.o., Bijeljina</w:t>
            </w:r>
          </w:p>
          <w:p w:rsidR="00B32084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Eksterni aktuar: </w:t>
            </w:r>
            <w:r w:rsidR="00DE35D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Vladimir Nikolić</w:t>
            </w:r>
          </w:p>
        </w:tc>
      </w:tr>
      <w:tr w:rsidR="00B32084" w:rsidRPr="0064025F" w:rsidTr="00244BC8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32084" w:rsidRPr="00422C09" w:rsidRDefault="00B32084" w:rsidP="00216DF0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422C09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Pavlović International bank a.d., Bijeljina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Hypo-alpe-adria-bank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Banka Srpske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:rsidR="00B32084" w:rsidRPr="00B00ECD" w:rsidRDefault="00B32084" w:rsidP="00216DF0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B00ECD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Mostar</w:t>
            </w:r>
          </w:p>
        </w:tc>
      </w:tr>
    </w:tbl>
    <w:p w:rsidR="00E67B7A" w:rsidRDefault="00E67B7A" w:rsidP="00216DF0">
      <w:pPr>
        <w:tabs>
          <w:tab w:val="left" w:pos="2655"/>
        </w:tabs>
        <w:spacing w:line="276" w:lineRule="auto"/>
        <w:rPr>
          <w:rFonts w:asciiTheme="majorHAnsi" w:hAnsiTheme="majorHAnsi"/>
          <w:lang w:val="sr-Latn-CS"/>
        </w:rPr>
      </w:pPr>
    </w:p>
    <w:p w:rsidR="00E67B7A" w:rsidRDefault="00E67B7A" w:rsidP="00E67B7A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1E612C" w:rsidRPr="001E612C" w:rsidRDefault="001E612C" w:rsidP="00E67B7A">
      <w:pPr>
        <w:tabs>
          <w:tab w:val="left" w:pos="2655"/>
        </w:tabs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  <w:r w:rsidRPr="001E612C">
        <w:rPr>
          <w:rFonts w:asciiTheme="majorHAnsi" w:hAnsiTheme="majorHAnsi"/>
          <w:b/>
          <w:lang w:val="sr-Latn-CS"/>
        </w:rPr>
        <w:t>Računovodstvene politike i aktuarske metode</w:t>
      </w:r>
    </w:p>
    <w:p w:rsidR="00E67B7A" w:rsidRPr="0097019A" w:rsidRDefault="00E67B7A" w:rsidP="00E67B7A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E67B7A" w:rsidRDefault="001E612C" w:rsidP="00216DF0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sr-Latn-CS"/>
        </w:rPr>
        <w:t>Osnov za sastavljanje i prezentaciju finansijskih izvještaja je</w:t>
      </w:r>
      <w:r w:rsidR="00E67B7A">
        <w:rPr>
          <w:rFonts w:asciiTheme="majorHAnsi" w:hAnsiTheme="majorHAnsi" w:cs="Times New Roman"/>
          <w:lang w:val="sr-Latn-CS"/>
        </w:rPr>
        <w:t xml:space="preserve"> Zakona </w:t>
      </w:r>
      <w:r w:rsidR="00E67B7A" w:rsidRPr="0097019A">
        <w:rPr>
          <w:rFonts w:asciiTheme="majorHAnsi" w:hAnsiTheme="majorHAnsi" w:cs="Times New Roman"/>
          <w:lang w:val="sr-Latn-CS"/>
        </w:rPr>
        <w:t>o ra</w:t>
      </w:r>
      <w:r w:rsidR="00E67B7A">
        <w:rPr>
          <w:rFonts w:asciiTheme="majorHAnsi" w:hAnsiTheme="majorHAnsi" w:cs="Times New Roman"/>
          <w:lang w:val="sr-Latn-CS"/>
        </w:rPr>
        <w:t>ču</w:t>
      </w:r>
      <w:r w:rsidR="00E67B7A" w:rsidRPr="0097019A">
        <w:rPr>
          <w:rFonts w:asciiTheme="majorHAnsi" w:hAnsiTheme="majorHAnsi" w:cs="Times New Roman"/>
          <w:lang w:val="sr-Latn-CS"/>
        </w:rPr>
        <w:t>novodstvu (Sl.</w:t>
      </w:r>
      <w:r w:rsidR="00A93D32">
        <w:rPr>
          <w:rFonts w:asciiTheme="majorHAnsi" w:hAnsiTheme="majorHAnsi" w:cs="Times New Roman"/>
          <w:lang w:val="sr-Latn-CS"/>
        </w:rPr>
        <w:t xml:space="preserve"> glasnik Republike Srpske br.</w:t>
      </w:r>
      <w:r>
        <w:rPr>
          <w:rFonts w:asciiTheme="majorHAnsi" w:hAnsiTheme="majorHAnsi" w:cs="Times New Roman"/>
          <w:lang w:val="sr-Latn-CS"/>
        </w:rPr>
        <w:t>94,15</w:t>
      </w:r>
      <w:r w:rsidR="00E67B7A">
        <w:rPr>
          <w:rFonts w:asciiTheme="majorHAnsi" w:hAnsiTheme="majorHAnsi" w:cs="Times New Roman"/>
          <w:lang w:val="sr-Latn-CS"/>
        </w:rPr>
        <w:t>), intern</w:t>
      </w:r>
      <w:r w:rsidR="00244BC8">
        <w:rPr>
          <w:rFonts w:asciiTheme="majorHAnsi" w:hAnsiTheme="majorHAnsi" w:cs="Times New Roman"/>
          <w:lang w:val="sr-Latn-CS"/>
        </w:rPr>
        <w:t>i</w:t>
      </w:r>
      <w:r w:rsidR="00E67B7A">
        <w:rPr>
          <w:rFonts w:asciiTheme="majorHAnsi" w:hAnsiTheme="majorHAnsi" w:cs="Times New Roman"/>
          <w:lang w:val="sr-Latn-CS"/>
        </w:rPr>
        <w:t xml:space="preserve"> Pravilnik </w:t>
      </w:r>
      <w:r w:rsidR="00E67B7A" w:rsidRPr="0097019A">
        <w:rPr>
          <w:rFonts w:asciiTheme="majorHAnsi" w:hAnsiTheme="majorHAnsi" w:cs="Times New Roman"/>
          <w:lang w:val="sr-Latn-CS"/>
        </w:rPr>
        <w:t>o računovodstvu</w:t>
      </w:r>
      <w:r w:rsidR="00244BC8">
        <w:rPr>
          <w:rFonts w:asciiTheme="majorHAnsi" w:hAnsiTheme="majorHAnsi" w:cs="Times New Roman"/>
          <w:lang w:val="sr-Latn-CS"/>
        </w:rPr>
        <w:t xml:space="preserve"> </w:t>
      </w:r>
      <w:r w:rsidR="00E67B7A">
        <w:rPr>
          <w:rFonts w:asciiTheme="majorHAnsi" w:hAnsiTheme="majorHAnsi" w:cs="Times New Roman"/>
          <w:lang w:val="sr-Latn-CS"/>
        </w:rPr>
        <w:t xml:space="preserve">i računovodstvenim </w:t>
      </w:r>
      <w:r w:rsidR="00E67B7A" w:rsidRPr="0097019A">
        <w:rPr>
          <w:rFonts w:asciiTheme="majorHAnsi" w:hAnsiTheme="majorHAnsi" w:cs="Times New Roman"/>
          <w:lang w:val="sr-Latn-CS"/>
        </w:rPr>
        <w:t>politikama</w:t>
      </w:r>
      <w:r w:rsidR="00E67B7A">
        <w:rPr>
          <w:rFonts w:asciiTheme="majorHAnsi" w:hAnsiTheme="majorHAnsi" w:cs="Times New Roman"/>
          <w:lang w:val="sr-Latn-CS"/>
        </w:rPr>
        <w:t>, Međunarodni računovodstveni standard</w:t>
      </w:r>
      <w:r w:rsidR="00244BC8">
        <w:rPr>
          <w:rFonts w:asciiTheme="majorHAnsi" w:hAnsiTheme="majorHAnsi" w:cs="Times New Roman"/>
          <w:lang w:val="sr-Latn-CS"/>
        </w:rPr>
        <w:t>i</w:t>
      </w:r>
      <w:r w:rsidR="00E67B7A">
        <w:rPr>
          <w:rFonts w:asciiTheme="majorHAnsi" w:hAnsiTheme="majorHAnsi" w:cs="Times New Roman"/>
          <w:lang w:val="sr-Latn-CS"/>
        </w:rPr>
        <w:t xml:space="preserve"> (MRS) i Međunarodni standard</w:t>
      </w:r>
      <w:r w:rsidR="00244BC8">
        <w:rPr>
          <w:rFonts w:asciiTheme="majorHAnsi" w:hAnsiTheme="majorHAnsi" w:cs="Times New Roman"/>
          <w:lang w:val="sr-Latn-CS"/>
        </w:rPr>
        <w:t>i</w:t>
      </w:r>
      <w:r w:rsidR="00E67B7A">
        <w:rPr>
          <w:rFonts w:asciiTheme="majorHAnsi" w:hAnsiTheme="majorHAnsi" w:cs="Times New Roman"/>
          <w:lang w:val="sr-Latn-CS"/>
        </w:rPr>
        <w:t xml:space="preserve"> finansijskog izvještavanja (MSFI), kao i aktuarsk</w:t>
      </w:r>
      <w:r w:rsidR="00244BC8">
        <w:rPr>
          <w:rFonts w:asciiTheme="majorHAnsi" w:hAnsiTheme="majorHAnsi" w:cs="Times New Roman"/>
          <w:lang w:val="sr-Latn-CS"/>
        </w:rPr>
        <w:t>e</w:t>
      </w:r>
      <w:r w:rsidR="00E67B7A">
        <w:rPr>
          <w:rFonts w:asciiTheme="majorHAnsi" w:hAnsiTheme="majorHAnsi" w:cs="Times New Roman"/>
          <w:lang w:val="sr-Latn-CS"/>
        </w:rPr>
        <w:t xml:space="preserve"> metod</w:t>
      </w:r>
      <w:r w:rsidR="00244BC8">
        <w:rPr>
          <w:rFonts w:asciiTheme="majorHAnsi" w:hAnsiTheme="majorHAnsi" w:cs="Times New Roman"/>
          <w:lang w:val="sr-Latn-CS"/>
        </w:rPr>
        <w:t>e propisane</w:t>
      </w:r>
      <w:r w:rsidR="00E67B7A">
        <w:rPr>
          <w:rFonts w:asciiTheme="majorHAnsi" w:hAnsiTheme="majorHAnsi" w:cs="Times New Roman"/>
          <w:lang w:val="sr-Latn-CS"/>
        </w:rPr>
        <w:t xml:space="preserve"> od strane Agencije za osiguranje Republike Srpske</w:t>
      </w:r>
      <w:r>
        <w:rPr>
          <w:rFonts w:asciiTheme="majorHAnsi" w:hAnsiTheme="majorHAnsi" w:cs="Times New Roman"/>
          <w:lang w:val="sr-Latn-CS"/>
        </w:rPr>
        <w:t xml:space="preserve"> </w:t>
      </w:r>
      <w:r w:rsidR="00E67B7A">
        <w:rPr>
          <w:rFonts w:asciiTheme="majorHAnsi" w:hAnsiTheme="majorHAnsi" w:cs="Times New Roman"/>
          <w:lang w:val="sr-Latn-CS"/>
        </w:rPr>
        <w:t xml:space="preserve">i internim aktima Društva, kao i svim drugim </w:t>
      </w:r>
      <w:r w:rsidR="00B86571">
        <w:rPr>
          <w:rFonts w:asciiTheme="majorHAnsi" w:hAnsiTheme="majorHAnsi" w:cs="Times New Roman"/>
          <w:lang w:val="sr-Latn-CS"/>
        </w:rPr>
        <w:t xml:space="preserve">propisima </w:t>
      </w:r>
      <w:r w:rsidR="00E67B7A">
        <w:rPr>
          <w:rFonts w:asciiTheme="majorHAnsi" w:hAnsiTheme="majorHAnsi" w:cs="Times New Roman"/>
          <w:lang w:val="sr-Latn-CS"/>
        </w:rPr>
        <w:t xml:space="preserve"> </w:t>
      </w:r>
      <w:r w:rsidR="00B86571">
        <w:rPr>
          <w:rFonts w:asciiTheme="majorHAnsi" w:hAnsiTheme="majorHAnsi" w:cs="Times New Roman"/>
          <w:lang w:val="sr-Latn-CS"/>
        </w:rPr>
        <w:t>koji su</w:t>
      </w:r>
      <w:r w:rsidR="00E67B7A">
        <w:rPr>
          <w:rFonts w:asciiTheme="majorHAnsi" w:hAnsiTheme="majorHAnsi" w:cs="Times New Roman"/>
          <w:lang w:val="sr-Latn-CS"/>
        </w:rPr>
        <w:t xml:space="preserve"> </w:t>
      </w:r>
      <w:r w:rsidR="00B86571">
        <w:rPr>
          <w:rFonts w:asciiTheme="majorHAnsi" w:hAnsiTheme="majorHAnsi" w:cs="Times New Roman"/>
          <w:lang w:val="sr-Latn-CS"/>
        </w:rPr>
        <w:t>imali uticaja na sastavljanje izvještaja</w:t>
      </w:r>
      <w:r w:rsidR="00E67B7A">
        <w:rPr>
          <w:rFonts w:asciiTheme="majorHAnsi" w:hAnsiTheme="majorHAnsi" w:cs="Times New Roman"/>
          <w:lang w:val="sr-Latn-CS"/>
        </w:rPr>
        <w:t xml:space="preserve"> Društva.</w:t>
      </w:r>
    </w:p>
    <w:p w:rsidR="00881AB2" w:rsidRDefault="00881AB2" w:rsidP="00E67B7A">
      <w:pPr>
        <w:pStyle w:val="NoSpacing"/>
        <w:jc w:val="both"/>
        <w:rPr>
          <w:rFonts w:asciiTheme="majorHAnsi" w:hAnsiTheme="majorHAnsi" w:cs="Times New Roman"/>
          <w:lang w:val="sr-Latn-CS"/>
        </w:rPr>
      </w:pPr>
    </w:p>
    <w:p w:rsidR="00E67B7A" w:rsidRPr="00E87AC2" w:rsidRDefault="00E87AC2" w:rsidP="00E67B7A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E87AC2">
        <w:rPr>
          <w:rFonts w:asciiTheme="majorHAnsi" w:hAnsiTheme="majorHAnsi"/>
          <w:b/>
          <w:bCs/>
          <w:sz w:val="28"/>
          <w:szCs w:val="28"/>
        </w:rPr>
        <w:t>Primjenjene r</w:t>
      </w:r>
      <w:r w:rsidR="001E612C" w:rsidRPr="00E87AC2">
        <w:rPr>
          <w:rFonts w:asciiTheme="majorHAnsi" w:hAnsiTheme="majorHAnsi"/>
          <w:b/>
          <w:bCs/>
          <w:sz w:val="28"/>
          <w:szCs w:val="28"/>
        </w:rPr>
        <w:t>ačunovodstvene politike Društva</w:t>
      </w:r>
    </w:p>
    <w:p w:rsidR="00244BC8" w:rsidRPr="00F93087" w:rsidRDefault="00244BC8" w:rsidP="00E67B7A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44BC8" w:rsidRPr="00244BC8" w:rsidRDefault="00244BC8" w:rsidP="00244BC8">
      <w:pPr>
        <w:ind w:firstLine="709"/>
        <w:jc w:val="both"/>
        <w:rPr>
          <w:rFonts w:asciiTheme="majorHAnsi" w:hAnsiTheme="majorHAnsi"/>
          <w:b/>
          <w:bCs/>
          <w:lang w:val="sr-Cyrl-BA"/>
        </w:rPr>
      </w:pPr>
      <w:r w:rsidRPr="00244BC8">
        <w:rPr>
          <w:rFonts w:asciiTheme="majorHAnsi" w:hAnsiTheme="majorHAnsi"/>
          <w:b/>
          <w:bCs/>
        </w:rPr>
        <w:t>Nematerijalna ulaganja</w:t>
      </w:r>
      <w:r w:rsidRPr="00244BC8">
        <w:rPr>
          <w:rFonts w:asciiTheme="majorHAnsi" w:hAnsiTheme="majorHAnsi"/>
          <w:b/>
          <w:bCs/>
          <w:lang w:val="sr-Cyrl-BA"/>
        </w:rPr>
        <w:t xml:space="preserve"> </w:t>
      </w:r>
      <w:r w:rsidRPr="00244BC8">
        <w:rPr>
          <w:rFonts w:asciiTheme="majorHAnsi" w:hAnsiTheme="majorHAnsi"/>
          <w:b/>
          <w:bCs/>
        </w:rPr>
        <w:t>-</w:t>
      </w:r>
      <w:r w:rsidRPr="00244BC8">
        <w:rPr>
          <w:rFonts w:asciiTheme="majorHAnsi" w:hAnsiTheme="majorHAnsi"/>
          <w:b/>
          <w:bCs/>
          <w:lang w:val="sr-Cyrl-BA"/>
        </w:rPr>
        <w:t xml:space="preserve"> </w:t>
      </w:r>
      <w:r w:rsidRPr="00244BC8">
        <w:rPr>
          <w:rFonts w:asciiTheme="majorHAnsi" w:hAnsiTheme="majorHAnsi"/>
          <w:b/>
          <w:bCs/>
        </w:rPr>
        <w:t>imovina</w:t>
      </w:r>
    </w:p>
    <w:p w:rsidR="00244BC8" w:rsidRPr="00244BC8" w:rsidRDefault="00244BC8" w:rsidP="00244BC8">
      <w:pPr>
        <w:ind w:firstLine="709"/>
        <w:jc w:val="both"/>
        <w:rPr>
          <w:rFonts w:asciiTheme="majorHAnsi" w:hAnsiTheme="majorHAnsi"/>
          <w:b/>
          <w:bCs/>
          <w:lang w:val="sr-Cyrl-BA"/>
        </w:rPr>
      </w:pPr>
    </w:p>
    <w:p w:rsidR="00244BC8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Nematerijalna ulaganja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– </w:t>
      </w:r>
      <w:r w:rsidRPr="003770F6">
        <w:rPr>
          <w:rFonts w:asciiTheme="majorHAnsi" w:hAnsiTheme="majorHAnsi"/>
          <w:sz w:val="22"/>
          <w:szCs w:val="22"/>
        </w:rPr>
        <w:t>imovina</w:t>
      </w:r>
      <w:r w:rsidRPr="003770F6">
        <w:rPr>
          <w:rFonts w:asciiTheme="majorHAnsi" w:hAnsiTheme="majorHAnsi"/>
          <w:sz w:val="22"/>
          <w:szCs w:val="22"/>
          <w:lang w:val="sr-Cyrl-BA"/>
        </w:rPr>
        <w:t>,</w:t>
      </w:r>
      <w:r w:rsidRPr="003770F6">
        <w:rPr>
          <w:rFonts w:asciiTheme="majorHAnsi" w:hAnsiTheme="majorHAnsi"/>
          <w:sz w:val="22"/>
          <w:szCs w:val="22"/>
        </w:rPr>
        <w:t xml:space="preserve"> je nenovčana imovina bez fizičke forme.</w:t>
      </w:r>
    </w:p>
    <w:p w:rsidR="003719D4" w:rsidRPr="003770F6" w:rsidRDefault="003719D4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</w:rPr>
        <w:t>Uslov za priznavanje je mogućnost indentifikacije i oočekivane  buduće koristi:softveri,ulaganje u razvoj,koncesije,patente,licence i sl.</w:t>
      </w:r>
    </w:p>
    <w:p w:rsidR="00244BC8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Latn-CS"/>
        </w:rPr>
      </w:pPr>
      <w:r w:rsidRPr="003770F6">
        <w:rPr>
          <w:rFonts w:asciiTheme="majorHAnsi" w:hAnsiTheme="majorHAnsi"/>
          <w:sz w:val="22"/>
          <w:szCs w:val="22"/>
        </w:rPr>
        <w:t xml:space="preserve">Nematrijalna ulaganja se 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početno </w:t>
      </w:r>
      <w:r w:rsidRPr="003770F6">
        <w:rPr>
          <w:rFonts w:asciiTheme="majorHAnsi" w:hAnsiTheme="majorHAnsi"/>
          <w:sz w:val="22"/>
          <w:szCs w:val="22"/>
        </w:rPr>
        <w:t>vrednuju po nabavnoj vrijednosti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.Naknadno vrednovanje nematerijalnih ulaganja se vrši po nabavnoj vrijednosti  primjenom osnovnog postupka predviđenog </w:t>
      </w:r>
      <w:r w:rsidRPr="003719D4">
        <w:rPr>
          <w:rFonts w:asciiTheme="majorHAnsi" w:hAnsiTheme="majorHAnsi"/>
          <w:sz w:val="22"/>
          <w:szCs w:val="22"/>
          <w:lang w:val="sr-Cyrl-CS"/>
        </w:rPr>
        <w:t>MRS-38,Nematerijalna sredstva</w:t>
      </w:r>
      <w:r w:rsidRPr="003770F6">
        <w:rPr>
          <w:rFonts w:asciiTheme="majorHAnsi" w:hAnsiTheme="majorHAnsi"/>
          <w:sz w:val="22"/>
          <w:szCs w:val="22"/>
        </w:rPr>
        <w:t>,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umanjena za ispravku vrijednosti po osnovu kumulirane amortizacije prema linearnom metodu po stopi od 20%.Obračun amortizacije za </w:t>
      </w:r>
      <w:r w:rsidRPr="003770F6">
        <w:rPr>
          <w:rFonts w:asciiTheme="majorHAnsi" w:hAnsiTheme="majorHAnsi"/>
          <w:sz w:val="22"/>
          <w:szCs w:val="22"/>
          <w:lang w:val="sr-Cyrl-CS"/>
        </w:rPr>
        <w:lastRenderedPageBreak/>
        <w:t>nematerijalna ulaganja se vrši narednog mjeseca u odnosu na mjesec kada je nematerijalno ulaganje stavljeno u upotrebu.</w:t>
      </w:r>
    </w:p>
    <w:p w:rsidR="00881C8C" w:rsidRPr="00881C8C" w:rsidRDefault="00881C8C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Nekretnine,</w:t>
      </w:r>
      <w:r w:rsidRPr="003770F6">
        <w:rPr>
          <w:rFonts w:asciiTheme="majorHAnsi" w:hAnsiTheme="majorHAnsi"/>
          <w:b/>
          <w:bCs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b/>
          <w:bCs/>
          <w:sz w:val="22"/>
          <w:szCs w:val="22"/>
        </w:rPr>
        <w:t>postrojenja i oprema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Pod nekretninama,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postrojenjima i opremom podrazumjev</w:t>
      </w:r>
      <w:r w:rsidRPr="003770F6">
        <w:rPr>
          <w:rFonts w:asciiTheme="majorHAnsi" w:hAnsiTheme="majorHAnsi"/>
          <w:sz w:val="22"/>
          <w:szCs w:val="22"/>
          <w:lang w:val="sr-Cyrl-CS"/>
        </w:rPr>
        <w:t>a</w:t>
      </w:r>
      <w:r w:rsidRPr="003770F6">
        <w:rPr>
          <w:rFonts w:asciiTheme="majorHAnsi" w:hAnsiTheme="majorHAnsi"/>
          <w:sz w:val="22"/>
          <w:szCs w:val="22"/>
        </w:rPr>
        <w:t xml:space="preserve"> se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materijalna imovina koja preduzeće koristi u pružanju usluga,za iznajmljivanje drugim licima ili u administrativne svrhe,</w:t>
      </w:r>
      <w:r w:rsidRPr="003770F6">
        <w:rPr>
          <w:rFonts w:asciiTheme="majorHAnsi" w:hAnsiTheme="majorHAnsi"/>
          <w:sz w:val="22"/>
          <w:szCs w:val="22"/>
        </w:rPr>
        <w:t xml:space="preserve"> </w:t>
      </w:r>
      <w:r w:rsidRPr="003770F6">
        <w:rPr>
          <w:rFonts w:asciiTheme="majorHAnsi" w:hAnsiTheme="majorHAnsi"/>
          <w:sz w:val="22"/>
          <w:szCs w:val="22"/>
          <w:lang w:val="sr-Cyrl-CS"/>
        </w:rPr>
        <w:t>imovina po osnuvu koje će</w:t>
      </w:r>
      <w:r w:rsidRPr="003770F6">
        <w:rPr>
          <w:rFonts w:asciiTheme="majorHAnsi" w:hAnsiTheme="majorHAnsi"/>
          <w:sz w:val="22"/>
          <w:szCs w:val="22"/>
        </w:rPr>
        <w:t xml:space="preserve"> vjerovatno 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u </w:t>
      </w:r>
      <w:r w:rsidRPr="003770F6">
        <w:rPr>
          <w:rFonts w:asciiTheme="majorHAnsi" w:hAnsiTheme="majorHAnsi"/>
          <w:sz w:val="22"/>
          <w:szCs w:val="22"/>
        </w:rPr>
        <w:t xml:space="preserve"> buduć</w:t>
      </w:r>
      <w:r w:rsidRPr="003770F6">
        <w:rPr>
          <w:rFonts w:asciiTheme="majorHAnsi" w:hAnsiTheme="majorHAnsi"/>
          <w:sz w:val="22"/>
          <w:szCs w:val="22"/>
          <w:lang w:val="sr-Cyrl-CS"/>
        </w:rPr>
        <w:t>e</w:t>
      </w:r>
      <w:r w:rsidRPr="003770F6">
        <w:rPr>
          <w:rFonts w:asciiTheme="majorHAnsi" w:hAnsiTheme="majorHAnsi"/>
          <w:sz w:val="22"/>
          <w:szCs w:val="22"/>
        </w:rPr>
        <w:t xml:space="preserve"> 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pristizati </w:t>
      </w:r>
      <w:r w:rsidRPr="003770F6">
        <w:rPr>
          <w:rFonts w:asciiTheme="majorHAnsi" w:hAnsiTheme="majorHAnsi"/>
          <w:sz w:val="22"/>
          <w:szCs w:val="22"/>
        </w:rPr>
        <w:t>ekonomske koristi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vezane za tu imovinu</w:t>
      </w:r>
      <w:r w:rsidRPr="003770F6">
        <w:rPr>
          <w:rFonts w:asciiTheme="majorHAnsi" w:hAnsiTheme="majorHAnsi"/>
          <w:sz w:val="22"/>
          <w:szCs w:val="22"/>
        </w:rPr>
        <w:t xml:space="preserve"> i ako se </w:t>
      </w:r>
      <w:r w:rsidRPr="003770F6">
        <w:rPr>
          <w:rFonts w:asciiTheme="majorHAnsi" w:hAnsiTheme="majorHAnsi"/>
          <w:sz w:val="22"/>
          <w:szCs w:val="22"/>
          <w:lang w:val="sr-Cyrl-CS"/>
        </w:rPr>
        <w:t>trošak nabavke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 xml:space="preserve">može pouzdano </w:t>
      </w:r>
      <w:r w:rsidRPr="003770F6">
        <w:rPr>
          <w:rFonts w:asciiTheme="majorHAnsi" w:hAnsiTheme="majorHAnsi"/>
          <w:sz w:val="22"/>
          <w:szCs w:val="22"/>
          <w:lang w:val="sr-Cyrl-CS"/>
        </w:rPr>
        <w:t>izmjeriti 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 xml:space="preserve">Nekretnine,postrojenja i oprema se početno vrednuju po nabavnoj cjeni,odnosno po cijeni koštanja.Nakon početnog priznavanja vrednuju se po </w:t>
      </w:r>
      <w:r w:rsidR="00351ED8">
        <w:rPr>
          <w:rFonts w:asciiTheme="majorHAnsi" w:hAnsiTheme="majorHAnsi"/>
          <w:sz w:val="22"/>
          <w:szCs w:val="22"/>
          <w:lang w:val="sr-Latn-CS"/>
        </w:rPr>
        <w:t>revalorizovanoj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vrijednosti u skladu sa MRS</w:t>
      </w:r>
      <w:r w:rsidRPr="003770F6">
        <w:rPr>
          <w:rFonts w:asciiTheme="majorHAnsi" w:hAnsiTheme="majorHAnsi"/>
          <w:sz w:val="22"/>
          <w:szCs w:val="22"/>
        </w:rPr>
        <w:t>-16 Nekretnine,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postrojenja i oprema,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umanjenoj za akumuliranu amortizaciju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i akumulisane gubitke od umanjenja.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Nabavna vrijednost čini vrijednost po fakturi dobavljača uvećenu za sve troškove nastale do njihovog stavljanja u upotrebu.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>Ukoliko se dodatnim ulaganjem u stalna sredstva vrši obnavljanje,a ne produžava vijek trajanja istih priznaje se kao rashod perioda u kome su nastali.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>Obračun amortizacije za nekretnine,postrojenja i opremu se vrši narednog mjeseca u odnosu na mjesec kada su stavljeni u upotrebu.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Dobitak po osnovu rashodovanja i prodaje osnovnih srestava iskazuje se neposredno kao ostali prihodi u okviru prihoda.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Gubitak nastao prilikom rashodovanja i prodaje osnovnih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 iskazuje se neposredno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kao ostali rashodi u okviru ostalih rashoda poslovanja.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Sitan inventar koji se ne klasifikuje kao stalno srestvo iskazuje se na zalihama i otpisuje se 100% sa danom stavljanja u upotrebu na teret rashoda perioda.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Amortizacija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B74CB9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</w:rPr>
        <w:t xml:space="preserve">                </w:t>
      </w:r>
      <w:r w:rsidR="00244BC8" w:rsidRPr="003770F6">
        <w:rPr>
          <w:rFonts w:asciiTheme="majorHAnsi" w:hAnsiTheme="majorHAnsi"/>
          <w:sz w:val="22"/>
          <w:szCs w:val="22"/>
        </w:rPr>
        <w:t xml:space="preserve">Amortizacija </w:t>
      </w:r>
      <w:r w:rsidR="00244BC8" w:rsidRPr="003770F6">
        <w:rPr>
          <w:rFonts w:asciiTheme="majorHAnsi" w:hAnsiTheme="majorHAnsi"/>
          <w:sz w:val="22"/>
          <w:szCs w:val="22"/>
          <w:lang w:val="sr-Cyrl-CS"/>
        </w:rPr>
        <w:t xml:space="preserve">nekretnina ,postrojenja i opreme </w:t>
      </w:r>
      <w:r w:rsidR="00244BC8" w:rsidRPr="003770F6">
        <w:rPr>
          <w:rFonts w:asciiTheme="majorHAnsi" w:hAnsiTheme="majorHAnsi"/>
          <w:sz w:val="22"/>
          <w:szCs w:val="22"/>
        </w:rPr>
        <w:t>obračunava se linearnom metodom po stopama,</w:t>
      </w:r>
      <w:r w:rsidR="00244BC8"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244BC8" w:rsidRPr="003770F6">
        <w:rPr>
          <w:rFonts w:asciiTheme="majorHAnsi" w:hAnsiTheme="majorHAnsi"/>
          <w:sz w:val="22"/>
          <w:szCs w:val="22"/>
        </w:rPr>
        <w:t>koje su određene tako da se</w:t>
      </w:r>
      <w:r w:rsidR="00244BC8"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244BC8" w:rsidRPr="003770F6">
        <w:rPr>
          <w:rFonts w:asciiTheme="majorHAnsi" w:hAnsiTheme="majorHAnsi"/>
          <w:sz w:val="22"/>
          <w:szCs w:val="22"/>
        </w:rPr>
        <w:t>neotpisana vrijednost osnovnih sre</w:t>
      </w:r>
      <w:r w:rsidR="00244BC8"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="00244BC8" w:rsidRPr="003770F6">
        <w:rPr>
          <w:rFonts w:asciiTheme="majorHAnsi" w:hAnsiTheme="majorHAnsi"/>
          <w:sz w:val="22"/>
          <w:szCs w:val="22"/>
        </w:rPr>
        <w:t>stava amortizuje u jednakim godišnjim iznosima u toku predviđenog korisnog</w:t>
      </w:r>
      <w:r w:rsidR="00244BC8"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244BC8" w:rsidRPr="003770F6">
        <w:rPr>
          <w:rFonts w:asciiTheme="majorHAnsi" w:hAnsiTheme="majorHAnsi"/>
          <w:sz w:val="22"/>
          <w:szCs w:val="22"/>
        </w:rPr>
        <w:t>vijeka trajanja</w:t>
      </w:r>
      <w:r w:rsidR="00244BC8" w:rsidRPr="003770F6">
        <w:rPr>
          <w:rFonts w:asciiTheme="majorHAnsi" w:hAnsiTheme="majorHAnsi"/>
          <w:sz w:val="22"/>
          <w:szCs w:val="22"/>
          <w:lang w:val="sr-Cyrl-CS"/>
        </w:rPr>
        <w:t xml:space="preserve">.  </w:t>
      </w:r>
    </w:p>
    <w:p w:rsidR="00244BC8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881C8C" w:rsidRDefault="00881C8C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881C8C" w:rsidRDefault="00881C8C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881C8C" w:rsidRPr="00881C8C" w:rsidRDefault="00881C8C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lastRenderedPageBreak/>
        <w:t>Investicione nekretnine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Investicione nekretnine u skladu sa MRS-40 Ulaganja u nekretnine,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 xml:space="preserve">su </w:t>
      </w:r>
      <w:r w:rsidRPr="003770F6">
        <w:rPr>
          <w:rFonts w:asciiTheme="majorHAnsi" w:hAnsiTheme="majorHAnsi"/>
          <w:sz w:val="22"/>
          <w:szCs w:val="22"/>
          <w:lang w:val="sr-Cyrl-CS"/>
        </w:rPr>
        <w:t>zemljište i zgrade</w:t>
      </w:r>
      <w:r w:rsidRPr="003770F6">
        <w:rPr>
          <w:rFonts w:asciiTheme="majorHAnsi" w:hAnsiTheme="majorHAnsi"/>
          <w:sz w:val="22"/>
          <w:szCs w:val="22"/>
        </w:rPr>
        <w:t xml:space="preserve"> koje se drže radi ostvarivanja ekonomske koristi u  Duštvu</w:t>
      </w:r>
      <w:r w:rsidRPr="003770F6">
        <w:rPr>
          <w:rFonts w:asciiTheme="majorHAnsi" w:hAnsiTheme="majorHAnsi"/>
          <w:sz w:val="22"/>
          <w:szCs w:val="22"/>
          <w:lang w:val="sr-Cyrl-CS"/>
        </w:rPr>
        <w:t>, odnosno izdavanja u zakup ili uvećanja vrijednosti kapitala ili jednog i drugog.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Latn-CS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 xml:space="preserve">         Početno mjerenje investicionih nekretnina prilikom sticanja se vrši po </w:t>
      </w:r>
      <w:r w:rsidR="003770F6">
        <w:rPr>
          <w:rFonts w:asciiTheme="majorHAnsi" w:hAnsiTheme="majorHAnsi"/>
          <w:sz w:val="22"/>
          <w:szCs w:val="22"/>
          <w:lang w:val="sr-Latn-CS"/>
        </w:rPr>
        <w:t>nabavnoj vrijednosti.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>Nakon početnog priznavanja,naknadno mjerenje investicionih nekretnina se vrši po modelu fer frijednosti primjenog osnovnog postupka predviđenog MRS-40-Investicione nekretnine.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 xml:space="preserve">        Primjena osnovnog postupka podrazumjeva da se prilikom vrednovanja investicionih nekretnina ne vrši obračun amortizacije,revalorizacije ili obezvređenja u skladu sa MRS-36.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>Vrednova</w:t>
      </w:r>
      <w:r w:rsidRPr="003770F6">
        <w:rPr>
          <w:rFonts w:asciiTheme="majorHAnsi" w:hAnsiTheme="majorHAnsi"/>
          <w:sz w:val="22"/>
          <w:szCs w:val="22"/>
          <w:lang w:val="sr-Cyrl-CS"/>
        </w:rPr>
        <w:t>nj</w:t>
      </w:r>
      <w:r w:rsidRPr="003770F6">
        <w:rPr>
          <w:rFonts w:asciiTheme="majorHAnsi" w:hAnsiTheme="majorHAnsi"/>
          <w:sz w:val="22"/>
          <w:szCs w:val="22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>Procjenu fer vrijednosti će vršiti ovlašteni procjenjivač.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>Prevođenje u investicionu nekretninu ili iz nje vrši se isključivo kada dođe do promjene u namjeni te nekretnine.</w:t>
      </w:r>
    </w:p>
    <w:p w:rsidR="00881C8C" w:rsidRDefault="00881C8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Učešće u kapitalu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 xml:space="preserve">Učešće u kapitalu procjenjuje se po nabavnoj vrijednosti ili tržišnoj vrijednosti </w:t>
      </w:r>
      <w:r w:rsidRPr="003770F6">
        <w:rPr>
          <w:rFonts w:asciiTheme="majorHAnsi" w:hAnsiTheme="majorHAnsi"/>
          <w:sz w:val="22"/>
          <w:szCs w:val="22"/>
          <w:lang w:val="sr-Cyrl-CS"/>
        </w:rPr>
        <w:t>ako je ona niža.</w:t>
      </w:r>
    </w:p>
    <w:p w:rsidR="00244BC8" w:rsidRPr="003770F6" w:rsidRDefault="00294626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sr-Latn-CS"/>
        </w:rPr>
        <w:t xml:space="preserve">          </w:t>
      </w:r>
      <w:r w:rsidR="00244BC8" w:rsidRPr="003770F6">
        <w:rPr>
          <w:rFonts w:asciiTheme="majorHAnsi" w:hAnsiTheme="majorHAnsi"/>
          <w:sz w:val="22"/>
          <w:szCs w:val="22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:rsidR="00881C8C" w:rsidRDefault="00881C8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Dugoročni finansijski plasmani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Dugoročni finansijski plasmani se iskazuju po nom</w:t>
      </w:r>
      <w:r w:rsidRPr="003770F6">
        <w:rPr>
          <w:rFonts w:asciiTheme="majorHAnsi" w:hAnsiTheme="majorHAnsi"/>
          <w:sz w:val="22"/>
          <w:szCs w:val="22"/>
          <w:lang w:val="sr-Cyrl-BA"/>
        </w:rPr>
        <w:t>i</w:t>
      </w:r>
      <w:r w:rsidRPr="003770F6">
        <w:rPr>
          <w:rFonts w:asciiTheme="majorHAnsi" w:hAnsiTheme="majorHAnsi"/>
          <w:sz w:val="22"/>
          <w:szCs w:val="22"/>
        </w:rPr>
        <w:t>nalnoj vrijednosti na dan ulaganja.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Ukoliko plasmani dospjevaju duže od godinu dana od dana činidbe odnosno od dana bilansiranja smatraju se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dugoročnim plasmanima.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highlight w:val="yellow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highlight w:val="yellow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Zalihe mat</w:t>
      </w:r>
      <w:r w:rsidRPr="003770F6">
        <w:rPr>
          <w:rFonts w:asciiTheme="majorHAnsi" w:hAnsiTheme="majorHAnsi"/>
          <w:b/>
          <w:bCs/>
          <w:sz w:val="22"/>
          <w:szCs w:val="22"/>
          <w:lang w:val="sr-Cyrl-BA"/>
        </w:rPr>
        <w:t>e</w:t>
      </w:r>
      <w:r w:rsidRPr="003770F6">
        <w:rPr>
          <w:rFonts w:asciiTheme="majorHAnsi" w:hAnsiTheme="majorHAnsi"/>
          <w:b/>
          <w:bCs/>
          <w:sz w:val="22"/>
          <w:szCs w:val="22"/>
        </w:rPr>
        <w:t>rijala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Zalihe se u skladu sa MRS-2 Zalihe, iskazuju po nabavnoj vrijednosti.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Nabavnu vrijednost čini vrijednost po fakturi dobavljača uvećanu za zavisne troškove nabavke.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>Zalihe društva čine pored materijala i zalihe obrazaca stroge evidencije,ostaci osiguranih oštećenih stvari i dati avansi.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lastRenderedPageBreak/>
        <w:t>Prenos zaliha obrazaca stroge evidencije na trošak se vrši kvartalno a najduže na dan bilansiranja.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>Popis zaliha stroge evidencije vrši posebna komisija po odluci direktora.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Latn-CS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Kratkoročn</w:t>
      </w:r>
      <w:r w:rsidRPr="003770F6">
        <w:rPr>
          <w:rFonts w:asciiTheme="majorHAnsi" w:hAnsiTheme="majorHAnsi"/>
          <w:b/>
          <w:bCs/>
          <w:sz w:val="22"/>
          <w:szCs w:val="22"/>
          <w:lang w:val="sr-Cyrl-CS"/>
        </w:rPr>
        <w:t xml:space="preserve">i finansijski plasmani </w:t>
      </w:r>
    </w:p>
    <w:p w:rsidR="00881C8C" w:rsidRPr="00881C8C" w:rsidRDefault="00881C8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Latn-CS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Kratkoročni finansijski plasmani  se iskazuju  po nominalnoj vrijednosti na dan ulaganja.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Plasmani koji dospjevaju do roka jedne godine od dana činidbe odnosno od dana bilansiranja smatraju se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kratkoročnim finansijskim plasmanima.</w:t>
      </w:r>
    </w:p>
    <w:p w:rsidR="00244BC8" w:rsidRPr="003770F6" w:rsidRDefault="00244BC8" w:rsidP="00216DF0">
      <w:pPr>
        <w:spacing w:line="276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Hartije od vrijednosti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Hartije od vrijednosti kojima Društvo raspolaže se klasifikuju kao hartije od vrijednosti koje su namjenjene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prodaji  i prvobitno se iskazuju po  nabavnoj vrijednosti,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a na dan bilansa stanja po tržišnoj vrijednosti.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Svi realizovani i nerealizovani dobici po osnovu prodaje,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odnosno promjene tržišne vrijednosti ovih XOV se priznaju u korist ostalih prihoda odnosno na teret ostalih rashoda u bilansu uspjeha u skladu sa MRS-39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Finansijski instrumenti,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priznavanje i mjerenje.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Kratkoročna potraživanja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Kratkoročna potraživanja obuhvataju: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potraživanja za premiju,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učešća u naknadama šteta u zemlji,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potraživanja  za regrese,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zakupe i ostala potraživanja.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Ukoliko Društvo procjeni da dospjela potraživanja neće biti moguće naplatiti istekom vremenskog perioda od godinu dana od momenta dospjelosti,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 xml:space="preserve">vršit </w:t>
      </w:r>
      <w:r w:rsidRPr="003770F6">
        <w:rPr>
          <w:rFonts w:asciiTheme="majorHAnsi" w:hAnsiTheme="majorHAnsi"/>
          <w:sz w:val="22"/>
          <w:szCs w:val="22"/>
          <w:lang w:val="sr-Cyrl-CS"/>
        </w:rPr>
        <w:t>će se direktan otpis potraživanja po odluci rukovodstva a na teret rashoda perioda.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bCs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Ispravka vrijednosti potraživanja se vrši i po Pravilniku o procjenjivanju bilansnih i vanbilansnih  pozicija Društva</w:t>
      </w:r>
      <w:r w:rsidRPr="003770F6">
        <w:rPr>
          <w:rFonts w:asciiTheme="majorHAnsi" w:hAnsiTheme="majorHAnsi"/>
          <w:b/>
          <w:bCs/>
          <w:sz w:val="22"/>
          <w:szCs w:val="22"/>
          <w:lang w:val="sr-Cyrl-CS"/>
        </w:rPr>
        <w:t xml:space="preserve"> (</w:t>
      </w:r>
      <w:r w:rsidRPr="003770F6">
        <w:rPr>
          <w:rFonts w:asciiTheme="majorHAnsi" w:hAnsiTheme="majorHAnsi"/>
          <w:bCs/>
          <w:sz w:val="22"/>
          <w:szCs w:val="22"/>
          <w:lang w:val="sr-Cyrl-CS"/>
        </w:rPr>
        <w:t>indirektan otpis).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AVR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 xml:space="preserve">          </w:t>
      </w:r>
      <w:r w:rsidRPr="003770F6">
        <w:rPr>
          <w:rFonts w:asciiTheme="majorHAnsi" w:hAnsiTheme="majorHAnsi"/>
          <w:sz w:val="22"/>
          <w:szCs w:val="22"/>
        </w:rPr>
        <w:t xml:space="preserve">Na poziciji vremenskih razgraničenja iskazuju se obračunati 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a do kraja obračunskog perioda ne uplaćeni </w:t>
      </w:r>
      <w:r w:rsidRPr="003770F6">
        <w:rPr>
          <w:rFonts w:asciiTheme="majorHAnsi" w:hAnsiTheme="majorHAnsi"/>
          <w:sz w:val="22"/>
          <w:szCs w:val="22"/>
        </w:rPr>
        <w:t>prihodi</w:t>
      </w:r>
      <w:r w:rsidRPr="003770F6">
        <w:rPr>
          <w:rFonts w:asciiTheme="majorHAnsi" w:hAnsiTheme="majorHAnsi"/>
          <w:sz w:val="22"/>
          <w:szCs w:val="22"/>
          <w:lang w:val="sr-Cyrl-CS"/>
        </w:rPr>
        <w:t>,</w:t>
      </w:r>
      <w:r w:rsidRPr="003770F6">
        <w:rPr>
          <w:rFonts w:asciiTheme="majorHAnsi" w:hAnsiTheme="majorHAnsi"/>
          <w:sz w:val="22"/>
          <w:szCs w:val="22"/>
        </w:rPr>
        <w:t xml:space="preserve"> unapr</w:t>
      </w:r>
      <w:r w:rsidRPr="003770F6">
        <w:rPr>
          <w:rFonts w:asciiTheme="majorHAnsi" w:hAnsiTheme="majorHAnsi"/>
          <w:sz w:val="22"/>
          <w:szCs w:val="22"/>
          <w:lang w:val="sr-Cyrl-BA"/>
        </w:rPr>
        <w:t>ij</w:t>
      </w:r>
      <w:r w:rsidRPr="003770F6">
        <w:rPr>
          <w:rFonts w:asciiTheme="majorHAnsi" w:hAnsiTheme="majorHAnsi"/>
          <w:sz w:val="22"/>
          <w:szCs w:val="22"/>
        </w:rPr>
        <w:t>ed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plaćeni troškovi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i prenosna premija koja pada na teret reosiguravača.</w:t>
      </w:r>
    </w:p>
    <w:p w:rsidR="00244BC8" w:rsidRPr="003770F6" w:rsidRDefault="00244BC8" w:rsidP="00216DF0">
      <w:pPr>
        <w:tabs>
          <w:tab w:val="left" w:pos="3630"/>
        </w:tabs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ab/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Gotovinski ekvivalenti i  gotovina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Gotovinski ekvivalenti i  gotovina uključuju se u bilans u nominalnom iznosu kao što su gotovina u blagajni depoziti kod komercijalnih banaka,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kao i visoko likvidna sredstva koja se mogu brzo konvertovati u poznate iznose gotovine.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Priliv i odliv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 iz blagajne se vrši u skladu sa uredbom o uslovima i načinu plaćanja gotovim novcem.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Sredstva u blagajni su ograničena blagajničkim ma</w:t>
      </w:r>
      <w:r w:rsidRPr="003770F6">
        <w:rPr>
          <w:rFonts w:asciiTheme="majorHAnsi" w:hAnsiTheme="majorHAnsi"/>
          <w:sz w:val="22"/>
          <w:szCs w:val="22"/>
          <w:lang w:val="sr-Cyrl-BA"/>
        </w:rPr>
        <w:t>ks</w:t>
      </w:r>
      <w:r w:rsidRPr="003770F6">
        <w:rPr>
          <w:rFonts w:asciiTheme="majorHAnsi" w:hAnsiTheme="majorHAnsi"/>
          <w:sz w:val="22"/>
          <w:szCs w:val="22"/>
        </w:rPr>
        <w:t>imumom.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Default="00244BC8" w:rsidP="00216DF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881C8C" w:rsidRDefault="00881C8C" w:rsidP="00216DF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881C8C" w:rsidRPr="003770F6" w:rsidRDefault="00881C8C" w:rsidP="00216DF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Preračunavanje deviznih iznosa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U skladu sa MRS 21-Efekti promjene kurseva stranih valuta,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 xml:space="preserve">poslovne promjene nastale u stranoj valuti se preračunavaju  u Konvertibilne marke po srednjem kursu koji je važio da dan poslovne promjene. 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Sredstva i obaveze izkazane u stranoj valuti na dan bilansa stanja,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preračunavaju se u KM po zvaničnom kursu koji je važio na taj dan po izvještaju centralne banke BiH.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Neto pozitivne ili negativne kursne razlike nastale prilikom poslovnih transakcija u stranoj valuti i prilikom preračuna pozicija bilansa stanja  iskazanih u  stranoj valuti knjižene su u korist ili na teret bilansa uspjeha,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kao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dobici ili gubici po osnovu kursnih razlika-</w:t>
      </w:r>
      <w:r w:rsidRPr="003770F6">
        <w:rPr>
          <w:rFonts w:asciiTheme="majorHAnsi" w:hAnsiTheme="majorHAnsi"/>
          <w:sz w:val="22"/>
          <w:szCs w:val="22"/>
          <w:lang w:val="sr-Cyrl-CS"/>
        </w:rPr>
        <w:t>realizaovane,odnosno na teret i u korist vremenskih razgraničenja-nerealizovane kursne razlike.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Kapital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Kapitalom se smatraju izvori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 koji ne dospjevaju dok pravno lice posluje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i u bilansu se i</w:t>
      </w:r>
      <w:r w:rsidRPr="003770F6">
        <w:rPr>
          <w:rFonts w:asciiTheme="majorHAnsi" w:hAnsiTheme="majorHAnsi"/>
          <w:sz w:val="22"/>
          <w:szCs w:val="22"/>
          <w:lang w:val="sr-Cyrl-BA"/>
        </w:rPr>
        <w:t>s</w:t>
      </w:r>
      <w:r w:rsidRPr="003770F6">
        <w:rPr>
          <w:rFonts w:asciiTheme="majorHAnsi" w:hAnsiTheme="majorHAnsi"/>
          <w:sz w:val="22"/>
          <w:szCs w:val="22"/>
        </w:rPr>
        <w:t>kazuje u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nominalnom iznos</w:t>
      </w:r>
      <w:r w:rsidRPr="003770F6">
        <w:rPr>
          <w:rFonts w:asciiTheme="majorHAnsi" w:hAnsiTheme="majorHAnsi"/>
          <w:sz w:val="22"/>
          <w:szCs w:val="22"/>
          <w:lang w:val="sr-Cyrl-CS"/>
        </w:rPr>
        <w:t>u</w:t>
      </w:r>
      <w:r w:rsidRPr="003770F6">
        <w:rPr>
          <w:rFonts w:asciiTheme="majorHAnsi" w:hAnsiTheme="majorHAnsi"/>
          <w:sz w:val="22"/>
          <w:szCs w:val="22"/>
        </w:rPr>
        <w:t>:</w:t>
      </w:r>
      <w:r w:rsidRPr="003770F6">
        <w:rPr>
          <w:rFonts w:asciiTheme="majorHAnsi" w:hAnsiTheme="majorHAnsi"/>
          <w:sz w:val="22"/>
          <w:szCs w:val="22"/>
          <w:lang w:val="sr-Cyrl-CS"/>
        </w:rPr>
        <w:t>osnovni kapital,emisiona premija, rezervni kapital,revalorizacione rezerve i neraspoređena dobit.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>Gubitak iz ranijih i tekuće godine je ispravka vrijednosti kapitala.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Akcijski kapital je utvrđen u skladu sa Zakonom o društv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ima </w:t>
      </w:r>
      <w:r w:rsidRPr="003770F6">
        <w:rPr>
          <w:rFonts w:asciiTheme="majorHAnsi" w:hAnsiTheme="majorHAnsi"/>
          <w:sz w:val="22"/>
          <w:szCs w:val="22"/>
        </w:rPr>
        <w:t>za osiguranje.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Neraspoređena dobit se izkazuje po nominalnoj vrijednosti  poslovne godine iz bilansa uspjeha.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Revalorizacione rezerve se prenose na neraspoređeni dobitak otpisom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uništenjem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 ili prodajom istih.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center"/>
        <w:rPr>
          <w:rFonts w:asciiTheme="majorHAnsi" w:hAnsiTheme="majorHAnsi"/>
          <w:sz w:val="22"/>
          <w:szCs w:val="22"/>
          <w:lang w:val="sr-Cyrl-CS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Rezervisanja za primanja zaposlenih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Rezervisanja za primanja zaposlenih se vrši u skladu sa MRS 19.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Kratkoročne obaveze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Kratkoročne obaveze se procjenjuju po nominalnoj vrijednosti proistekle iz finansijskih i poslovnih transakcija.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Otpis zastarjelih obaveza se vrši direktnim otpisom u korist prihoda.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PVR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Pasivna vremenska razgraničenja čine unapr</w:t>
      </w:r>
      <w:r w:rsidRPr="003770F6">
        <w:rPr>
          <w:rFonts w:asciiTheme="majorHAnsi" w:hAnsiTheme="majorHAnsi"/>
          <w:sz w:val="22"/>
          <w:szCs w:val="22"/>
          <w:lang w:val="sr-Cyrl-BA"/>
        </w:rPr>
        <w:t>ij</w:t>
      </w:r>
      <w:r w:rsidRPr="003770F6">
        <w:rPr>
          <w:rFonts w:asciiTheme="majorHAnsi" w:hAnsiTheme="majorHAnsi"/>
          <w:sz w:val="22"/>
          <w:szCs w:val="22"/>
        </w:rPr>
        <w:t>ed obračunati prihodi (prenosna premija)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  <w:lang w:val="sr-Cyrl-CS"/>
        </w:rPr>
        <w:t>,</w:t>
      </w:r>
      <w:r w:rsidRPr="003770F6">
        <w:rPr>
          <w:rFonts w:asciiTheme="majorHAnsi" w:hAnsiTheme="majorHAnsi"/>
          <w:sz w:val="22"/>
          <w:szCs w:val="22"/>
        </w:rPr>
        <w:t xml:space="preserve"> rezervisanja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i obračunati prihodi budućeg perioda.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</w:rPr>
        <w:t>Povećanje</w:t>
      </w:r>
      <w:r w:rsidRPr="003770F6">
        <w:rPr>
          <w:rFonts w:asciiTheme="majorHAnsi" w:hAnsiTheme="majorHAnsi"/>
          <w:sz w:val="22"/>
          <w:szCs w:val="22"/>
          <w:lang w:val="sr-Cyrl-CS"/>
        </w:rPr>
        <w:t>m</w:t>
      </w:r>
      <w:r w:rsidRPr="003770F6">
        <w:rPr>
          <w:rFonts w:asciiTheme="majorHAnsi" w:hAnsiTheme="majorHAnsi"/>
          <w:sz w:val="22"/>
          <w:szCs w:val="22"/>
        </w:rPr>
        <w:t xml:space="preserve"> prenosne premije </w:t>
      </w:r>
      <w:r w:rsidRPr="003770F6">
        <w:rPr>
          <w:rFonts w:asciiTheme="majorHAnsi" w:hAnsiTheme="majorHAnsi"/>
          <w:sz w:val="22"/>
          <w:szCs w:val="22"/>
          <w:lang w:val="sr-Cyrl-CS"/>
        </w:rPr>
        <w:t>smanjuju se prihodi od premije a u korist PVR</w:t>
      </w:r>
      <w:r w:rsidRPr="003770F6">
        <w:rPr>
          <w:rFonts w:asciiTheme="majorHAnsi" w:hAnsiTheme="majorHAnsi"/>
          <w:sz w:val="22"/>
          <w:szCs w:val="22"/>
        </w:rPr>
        <w:t xml:space="preserve"> 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a </w:t>
      </w:r>
      <w:r w:rsidRPr="003770F6">
        <w:rPr>
          <w:rFonts w:asciiTheme="majorHAnsi" w:hAnsiTheme="majorHAnsi"/>
          <w:sz w:val="22"/>
          <w:szCs w:val="22"/>
        </w:rPr>
        <w:t xml:space="preserve"> </w:t>
      </w:r>
      <w:r w:rsidRPr="003770F6">
        <w:rPr>
          <w:rFonts w:asciiTheme="majorHAnsi" w:hAnsiTheme="majorHAnsi"/>
          <w:sz w:val="22"/>
          <w:szCs w:val="22"/>
          <w:lang w:val="sr-Cyrl-CS"/>
        </w:rPr>
        <w:t>smanjenjem prenosne premije(PVR) povećavaju se prihodi od premije.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 xml:space="preserve">Povećanje rezervacija </w:t>
      </w:r>
      <w:r w:rsidRPr="003770F6">
        <w:rPr>
          <w:rFonts w:asciiTheme="majorHAnsi" w:hAnsiTheme="majorHAnsi"/>
          <w:sz w:val="22"/>
          <w:szCs w:val="22"/>
          <w:lang w:val="sr-Cyrl-CS"/>
        </w:rPr>
        <w:t>pada</w:t>
      </w:r>
      <w:r w:rsidRPr="003770F6">
        <w:rPr>
          <w:rFonts w:asciiTheme="majorHAnsi" w:hAnsiTheme="majorHAnsi"/>
          <w:sz w:val="22"/>
          <w:szCs w:val="22"/>
        </w:rPr>
        <w:t xml:space="preserve"> na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 xml:space="preserve">teret </w:t>
      </w:r>
      <w:r w:rsidRPr="003770F6">
        <w:rPr>
          <w:rFonts w:asciiTheme="majorHAnsi" w:hAnsiTheme="majorHAnsi"/>
          <w:sz w:val="22"/>
          <w:szCs w:val="22"/>
          <w:lang w:val="sr-Cyrl-CS"/>
        </w:rPr>
        <w:t>poslovnih rashoda</w:t>
      </w:r>
      <w:r w:rsidRPr="003770F6">
        <w:rPr>
          <w:rFonts w:asciiTheme="majorHAnsi" w:hAnsiTheme="majorHAnsi"/>
          <w:sz w:val="22"/>
          <w:szCs w:val="22"/>
        </w:rPr>
        <w:t xml:space="preserve"> a smanjenje u korist prihoda od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smanjenja</w:t>
      </w:r>
      <w:r w:rsidRPr="003770F6">
        <w:rPr>
          <w:rFonts w:asciiTheme="majorHAnsi" w:hAnsiTheme="majorHAnsi"/>
          <w:sz w:val="22"/>
          <w:szCs w:val="22"/>
        </w:rPr>
        <w:t xml:space="preserve"> reze</w:t>
      </w:r>
      <w:r w:rsidRPr="003770F6">
        <w:rPr>
          <w:rFonts w:asciiTheme="majorHAnsi" w:hAnsiTheme="majorHAnsi"/>
          <w:sz w:val="22"/>
          <w:szCs w:val="22"/>
          <w:lang w:val="sr-Cyrl-CS"/>
        </w:rPr>
        <w:t>r</w:t>
      </w:r>
      <w:r w:rsidRPr="003770F6">
        <w:rPr>
          <w:rFonts w:asciiTheme="majorHAnsi" w:hAnsiTheme="majorHAnsi"/>
          <w:sz w:val="22"/>
          <w:szCs w:val="22"/>
        </w:rPr>
        <w:t>visanja.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R</w:t>
      </w:r>
      <w:r w:rsidRPr="003770F6">
        <w:rPr>
          <w:rFonts w:asciiTheme="majorHAnsi" w:hAnsiTheme="majorHAnsi"/>
          <w:b/>
          <w:bCs/>
          <w:sz w:val="22"/>
          <w:szCs w:val="22"/>
        </w:rPr>
        <w:t>ezervisanja sre</w:t>
      </w:r>
      <w:r w:rsidRPr="003770F6">
        <w:rPr>
          <w:rFonts w:asciiTheme="majorHAnsi" w:hAnsiTheme="majorHAnsi"/>
          <w:b/>
          <w:bCs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b/>
          <w:bCs/>
          <w:sz w:val="22"/>
          <w:szCs w:val="22"/>
        </w:rPr>
        <w:t>stava za nastale prijavljene,</w:t>
      </w:r>
      <w:r w:rsidRPr="003770F6">
        <w:rPr>
          <w:rFonts w:asciiTheme="majorHAnsi" w:hAnsiTheme="majorHAnsi"/>
          <w:b/>
          <w:bCs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b/>
          <w:bCs/>
          <w:sz w:val="22"/>
          <w:szCs w:val="22"/>
        </w:rPr>
        <w:t>a nelikvidirane štete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Rezervisanje za nastale prijavljene,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a nelikvidirane štete vrši se na osnovu procjene vrijednnosti očekivanih iznosa svake pojedinačne štete na osnovu prikupljenih dokumenta,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osim za štete za koje na osnovu raspoložive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dokumentacije,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nije moguće izvršiti takvu procjenu,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rezervacija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 za takve štete se vrši na osnovu prosječne likvidirane štete u tekućoj godini za odnosnu vrstu osiguranja.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Štete u sporu rezervišu se u iznosu za koji se očekuje da bi mogao biti utvrđen od strane suda.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Rezervisanja za nastale a ne prijavljene štete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Za nastale štete koje do kraja obračunskog perioda nisu prijavljene Društvo vrši obračun rezervac</w:t>
      </w:r>
      <w:r w:rsidRPr="003770F6">
        <w:rPr>
          <w:rFonts w:asciiTheme="majorHAnsi" w:hAnsiTheme="majorHAnsi"/>
          <w:sz w:val="22"/>
          <w:szCs w:val="22"/>
          <w:lang w:val="sr-Cyrl-BA"/>
        </w:rPr>
        <w:t>i</w:t>
      </w:r>
      <w:r w:rsidRPr="003770F6">
        <w:rPr>
          <w:rFonts w:asciiTheme="majorHAnsi" w:hAnsiTheme="majorHAnsi"/>
          <w:sz w:val="22"/>
          <w:szCs w:val="22"/>
        </w:rPr>
        <w:t>ja na jedan od sledeća dva aktuarska meoda: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1)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2753A7">
        <w:rPr>
          <w:rFonts w:asciiTheme="majorHAnsi" w:hAnsiTheme="majorHAnsi"/>
          <w:sz w:val="22"/>
          <w:szCs w:val="22"/>
        </w:rPr>
        <w:t>Metod na osnovu podataka o riješenim i rezervisanim(nastalim prijavljenim a neriješenim)štetama</w:t>
      </w:r>
    </w:p>
    <w:p w:rsidR="00244BC8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Latn-CS"/>
        </w:rPr>
      </w:pPr>
      <w:r w:rsidRPr="003770F6">
        <w:rPr>
          <w:rFonts w:asciiTheme="majorHAnsi" w:hAnsiTheme="majorHAnsi"/>
          <w:sz w:val="22"/>
          <w:szCs w:val="22"/>
        </w:rPr>
        <w:t>2)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2753A7">
        <w:rPr>
          <w:rFonts w:asciiTheme="majorHAnsi" w:hAnsiTheme="majorHAnsi"/>
          <w:sz w:val="22"/>
          <w:szCs w:val="22"/>
        </w:rPr>
        <w:t>M</w:t>
      </w:r>
      <w:r w:rsidRPr="003770F6">
        <w:rPr>
          <w:rFonts w:asciiTheme="majorHAnsi" w:hAnsiTheme="majorHAnsi"/>
          <w:sz w:val="22"/>
          <w:szCs w:val="22"/>
        </w:rPr>
        <w:t>etod ulančanih ljestvica</w:t>
      </w:r>
      <w:r w:rsidRPr="003770F6">
        <w:rPr>
          <w:rFonts w:asciiTheme="majorHAnsi" w:hAnsiTheme="majorHAnsi"/>
          <w:sz w:val="22"/>
          <w:szCs w:val="22"/>
          <w:lang w:val="sr-Cyrl-BA"/>
        </w:rPr>
        <w:t>.</w:t>
      </w:r>
    </w:p>
    <w:p w:rsidR="002753A7" w:rsidRPr="002753A7" w:rsidRDefault="002753A7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Latn-CS"/>
        </w:rPr>
      </w:pPr>
      <w:r>
        <w:rPr>
          <w:rFonts w:asciiTheme="majorHAnsi" w:hAnsiTheme="majorHAnsi"/>
          <w:sz w:val="22"/>
          <w:szCs w:val="22"/>
          <w:lang w:val="sr-Latn-CS"/>
        </w:rPr>
        <w:t>3)Ostalim priznatim aktuarskim metodama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 xml:space="preserve">Metod </w:t>
      </w:r>
      <w:r w:rsidR="003E596B">
        <w:rPr>
          <w:rFonts w:asciiTheme="majorHAnsi" w:hAnsiTheme="majorHAnsi"/>
          <w:sz w:val="22"/>
          <w:szCs w:val="22"/>
        </w:rPr>
        <w:t xml:space="preserve">na osnovu podataka o riješenim i rezervisanim </w:t>
      </w:r>
      <w:r w:rsidRPr="003770F6">
        <w:rPr>
          <w:rFonts w:asciiTheme="majorHAnsi" w:hAnsiTheme="majorHAnsi"/>
          <w:sz w:val="22"/>
          <w:szCs w:val="22"/>
        </w:rPr>
        <w:t>šteta</w:t>
      </w:r>
      <w:r w:rsidR="003E596B">
        <w:rPr>
          <w:rFonts w:asciiTheme="majorHAnsi" w:hAnsiTheme="majorHAnsi"/>
          <w:sz w:val="22"/>
          <w:szCs w:val="22"/>
        </w:rPr>
        <w:t>ma</w:t>
      </w:r>
      <w:r w:rsidRPr="003770F6">
        <w:rPr>
          <w:rFonts w:asciiTheme="majorHAnsi" w:hAnsiTheme="majorHAnsi"/>
          <w:sz w:val="22"/>
          <w:szCs w:val="22"/>
        </w:rPr>
        <w:t xml:space="preserve"> </w:t>
      </w:r>
      <w:r w:rsidRPr="003770F6">
        <w:rPr>
          <w:rFonts w:asciiTheme="majorHAnsi" w:hAnsiTheme="majorHAnsi"/>
          <w:sz w:val="22"/>
          <w:szCs w:val="22"/>
          <w:lang w:val="sr-Cyrl-BA"/>
        </w:rPr>
        <w:t>Društvo primjenjuje</w:t>
      </w:r>
      <w:r w:rsidRPr="003770F6">
        <w:rPr>
          <w:rFonts w:asciiTheme="majorHAnsi" w:hAnsiTheme="majorHAnsi"/>
          <w:sz w:val="22"/>
          <w:szCs w:val="22"/>
        </w:rPr>
        <w:t xml:space="preserve"> kod onih vrsta osiguranja kojima se bavi u periodu k</w:t>
      </w:r>
      <w:r w:rsidRPr="003770F6">
        <w:rPr>
          <w:rFonts w:asciiTheme="majorHAnsi" w:hAnsiTheme="majorHAnsi"/>
          <w:sz w:val="22"/>
          <w:szCs w:val="22"/>
          <w:lang w:val="sr-Cyrl-CS"/>
        </w:rPr>
        <w:t>raćem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od pet godina,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a osnovni metod ulančanih ljestvica primjenjuje kod onih vrsta osiguranja kojima se bavi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i za koje ima podatke o likvidiranim i rezervisanim štetama od najmanje pet godina unazad.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Direktni i indirektni troškovi obrade šteta u rezervi za štete sastavni su dio bruto rezervi za štete.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Idvojena sre</w:t>
      </w:r>
      <w:r w:rsidRPr="003770F6">
        <w:rPr>
          <w:rFonts w:asciiTheme="majorHAnsi" w:hAnsiTheme="majorHAnsi"/>
          <w:b/>
          <w:bCs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b/>
          <w:bCs/>
          <w:sz w:val="22"/>
          <w:szCs w:val="22"/>
        </w:rPr>
        <w:t>stva za preventivu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Izdvojena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 xml:space="preserve">stva za preventivu obračunavaju se izdvajanjem iz bruto premije </w:t>
      </w:r>
      <w:r w:rsidR="00440D7C">
        <w:rPr>
          <w:rFonts w:asciiTheme="majorHAnsi" w:hAnsiTheme="majorHAnsi"/>
          <w:sz w:val="22"/>
          <w:szCs w:val="22"/>
        </w:rPr>
        <w:t xml:space="preserve">prema Odluci o raspodjeli bruto premije sa maksimalnim stopama režijskog dodatka. </w:t>
      </w:r>
      <w:r w:rsidRPr="003770F6">
        <w:rPr>
          <w:rFonts w:asciiTheme="majorHAnsi" w:hAnsiTheme="majorHAnsi"/>
          <w:sz w:val="22"/>
          <w:szCs w:val="22"/>
        </w:rPr>
        <w:t xml:space="preserve"> 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Izdvojena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stva za preventivu se mogu koristiti za potrebe preventive u skladu sa internim aktom i propisima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za preventivu.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Default="00244BC8" w:rsidP="00216DF0">
      <w:pPr>
        <w:spacing w:line="276" w:lineRule="auto"/>
        <w:jc w:val="center"/>
        <w:rPr>
          <w:rFonts w:asciiTheme="majorHAnsi" w:hAnsiTheme="majorHAnsi"/>
          <w:sz w:val="22"/>
          <w:szCs w:val="22"/>
          <w:lang w:val="sr-Latn-CS"/>
        </w:rPr>
      </w:pPr>
    </w:p>
    <w:p w:rsidR="00881C8C" w:rsidRDefault="00881C8C" w:rsidP="00216DF0">
      <w:pPr>
        <w:spacing w:line="276" w:lineRule="auto"/>
        <w:jc w:val="center"/>
        <w:rPr>
          <w:rFonts w:asciiTheme="majorHAnsi" w:hAnsiTheme="majorHAnsi"/>
          <w:sz w:val="22"/>
          <w:szCs w:val="22"/>
          <w:lang w:val="sr-Latn-CS"/>
        </w:rPr>
      </w:pPr>
    </w:p>
    <w:p w:rsidR="00881C8C" w:rsidRPr="00881C8C" w:rsidRDefault="00881C8C" w:rsidP="00216DF0">
      <w:pPr>
        <w:spacing w:line="276" w:lineRule="auto"/>
        <w:jc w:val="center"/>
        <w:rPr>
          <w:rFonts w:asciiTheme="majorHAnsi" w:hAnsiTheme="majorHAnsi"/>
          <w:sz w:val="22"/>
          <w:szCs w:val="22"/>
          <w:lang w:val="sr-Latn-CS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lastRenderedPageBreak/>
        <w:t>PRIHODI I RASHODI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Poslovni  prihodi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Poslovne prihode čine: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premije,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učešća u naknadi šteta,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smanjenja rezervisanja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, </w:t>
      </w:r>
      <w:r w:rsidRPr="003770F6">
        <w:rPr>
          <w:rFonts w:asciiTheme="majorHAnsi" w:hAnsiTheme="majorHAnsi"/>
          <w:sz w:val="22"/>
          <w:szCs w:val="22"/>
        </w:rPr>
        <w:t>prihodi od regresa,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zakupa,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fondova,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naplate ZK,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uslužne procjene i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drugi prihodi.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Prihodi od premije ostalih osiguranja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Prihod od premije ostalih osiguranja u skladu sa MRS 18-Prihodi, prestavljaju fakturisane iznose premije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koji su pouzdano utvrđeni i na osnovu kojih postoji priliv ekonomskih koristi u Društvo.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Prihod od premije se umanjuje za iznos prenosne premije obračunate na kraju obračunskog perioda a koja predstavlja prihod budućeg obračunskog perioda (BPP).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Bruto perenosna premija se obračunava metodom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"PRO RATA TEMPORIS" za ona osiguranja kod kojih osiguravajuće pokriće traje i posle isteka obračunskog perioda s ciljem ispunjavanja obaveza koje će nastati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nakon obračunskog perioda koje proizilaze iz ugovora o osiguranju i to za sve vrste osiguranja kojom se društvo bavi.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Prenosna premija "neto od reosiguranja" Društva koje obavlja poslove neposrednog osiguranja obračunava se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tako što se bruto prenosna premija osiguranja sopstvenog portfelja umanji za zbir prenosne premije prenijete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u reosiguranje.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Prihod po osnovu regresa se evidentiraju kada regresno potraživanje postane naplativo (kada počinilac štete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uplati regres,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vansudskim poravnanjem ili putem suda).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Provizija i drugi odgovarajući troškovi koje se mogu odnositi na prenosne premije se ne razgraničavaju,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već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idu na teret ukupnog prihoda perioda u kome nastanu.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Poslovne rashode čine: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troškovi preventive,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troškovi koji zavise od prihoda,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doprinos u fond šteta,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troškovi šteta,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premija reosiguranja,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troškovi rezervacije,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amortizacije,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troškovi poslovanja i drugi troškovi.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BA"/>
        </w:rPr>
        <w:t xml:space="preserve">          Premija i provizija reosiguranja se razgraničavaju u skladu sa</w:t>
      </w:r>
      <w:r w:rsidRPr="003770F6">
        <w:rPr>
          <w:rFonts w:asciiTheme="majorHAnsi" w:hAnsiTheme="majorHAnsi"/>
          <w:sz w:val="22"/>
          <w:szCs w:val="22"/>
          <w:lang w:val="sr-Cyrl-CS"/>
        </w:rPr>
        <w:t xml:space="preserve"> Pravilnikom 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CS"/>
        </w:rPr>
      </w:pPr>
      <w:r w:rsidRPr="003770F6">
        <w:rPr>
          <w:rFonts w:asciiTheme="majorHAnsi" w:hAnsiTheme="majorHAnsi"/>
          <w:sz w:val="22"/>
          <w:szCs w:val="22"/>
          <w:lang w:val="sr-Cyrl-CS"/>
        </w:rPr>
        <w:t>o tehničkim rezervama.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CS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Finansijski prihodi i rashodi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770F6">
        <w:rPr>
          <w:rFonts w:asciiTheme="majorHAnsi" w:hAnsiTheme="majorHAnsi"/>
          <w:sz w:val="22"/>
          <w:szCs w:val="22"/>
        </w:rPr>
        <w:t>Finansijske prihode  čine: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kamata,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pozitivne kursne razlike i slično.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Finansijske rashode čine: negativne kursne razlike,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rashodi kamata i slično.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  <w:r w:rsidRPr="003770F6">
        <w:rPr>
          <w:rFonts w:asciiTheme="majorHAnsi" w:hAnsiTheme="majorHAnsi"/>
          <w:b/>
          <w:bCs/>
          <w:sz w:val="22"/>
          <w:szCs w:val="22"/>
        </w:rPr>
        <w:t>Ostali prihodi i rashodi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lang w:val="sr-Cyrl-BA"/>
        </w:rPr>
      </w:pP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t>Ostale prihode čine: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po osnovu prodaje imovine,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viškovi osnovnih sre</w:t>
      </w:r>
      <w:r w:rsidRPr="003770F6">
        <w:rPr>
          <w:rFonts w:asciiTheme="majorHAnsi" w:hAnsiTheme="majorHAnsi"/>
          <w:sz w:val="22"/>
          <w:szCs w:val="22"/>
          <w:lang w:val="sr-Cyrl-BA"/>
        </w:rPr>
        <w:t>d</w:t>
      </w:r>
      <w:r w:rsidRPr="003770F6">
        <w:rPr>
          <w:rFonts w:asciiTheme="majorHAnsi" w:hAnsiTheme="majorHAnsi"/>
          <w:sz w:val="22"/>
          <w:szCs w:val="22"/>
        </w:rPr>
        <w:t>stava,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naplaćena otpisana potraživanja,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prihodi od smanjenja obaveza i slično.</w:t>
      </w:r>
    </w:p>
    <w:p w:rsidR="00244BC8" w:rsidRPr="003770F6" w:rsidRDefault="00244BC8" w:rsidP="00216DF0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  <w:lang w:val="sr-Cyrl-BA"/>
        </w:rPr>
      </w:pPr>
      <w:r w:rsidRPr="003770F6">
        <w:rPr>
          <w:rFonts w:asciiTheme="majorHAnsi" w:hAnsiTheme="majorHAnsi"/>
          <w:sz w:val="22"/>
          <w:szCs w:val="22"/>
        </w:rPr>
        <w:lastRenderedPageBreak/>
        <w:t>Ostale rashode čine: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gubici po osnovu prodaje i rashoda imovine,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gubici  i manjkovi osnovnih sredstava,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otpis</w:t>
      </w:r>
      <w:r w:rsidRPr="003770F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770F6">
        <w:rPr>
          <w:rFonts w:asciiTheme="majorHAnsi" w:hAnsiTheme="majorHAnsi"/>
          <w:sz w:val="22"/>
          <w:szCs w:val="22"/>
        </w:rPr>
        <w:t>potraživanja i slično.</w:t>
      </w:r>
    </w:p>
    <w:p w:rsidR="00244BC8" w:rsidRPr="003770F6" w:rsidRDefault="00244BC8" w:rsidP="00216DF0">
      <w:pPr>
        <w:spacing w:line="276" w:lineRule="auto"/>
        <w:jc w:val="both"/>
        <w:rPr>
          <w:rFonts w:asciiTheme="majorHAnsi" w:hAnsiTheme="majorHAnsi"/>
          <w:sz w:val="22"/>
          <w:szCs w:val="22"/>
          <w:lang w:val="sr-Cyrl-BA"/>
        </w:rPr>
      </w:pPr>
    </w:p>
    <w:p w:rsidR="00244BC8" w:rsidRDefault="00627695" w:rsidP="00216DF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r-Latn-CS"/>
        </w:rPr>
      </w:pPr>
      <w:r>
        <w:rPr>
          <w:rFonts w:asciiTheme="majorHAnsi" w:hAnsiTheme="majorHAnsi"/>
          <w:b/>
          <w:sz w:val="22"/>
          <w:szCs w:val="22"/>
          <w:lang w:val="sr-Latn-CS"/>
        </w:rPr>
        <w:t>Ispravljanje grešaka</w:t>
      </w:r>
    </w:p>
    <w:p w:rsidR="00881C8C" w:rsidRPr="00627695" w:rsidRDefault="00881C8C" w:rsidP="00216DF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r-Latn-CS"/>
        </w:rPr>
      </w:pPr>
    </w:p>
    <w:p w:rsidR="006A2D8F" w:rsidRPr="006A2D8F" w:rsidRDefault="006A2D8F" w:rsidP="006A2D8F">
      <w:pPr>
        <w:spacing w:line="276" w:lineRule="auto"/>
        <w:ind w:firstLine="709"/>
        <w:jc w:val="both"/>
        <w:rPr>
          <w:rFonts w:asciiTheme="majorHAnsi" w:hAnsiTheme="majorHAnsi"/>
          <w:lang w:val="sr-Cyrl-CS"/>
        </w:rPr>
      </w:pPr>
      <w:r w:rsidRPr="006A2D8F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="00627695">
        <w:rPr>
          <w:rFonts w:asciiTheme="majorHAnsi" w:hAnsiTheme="majorHAnsi"/>
          <w:lang w:val="sr-Latn-CS"/>
        </w:rPr>
        <w:t xml:space="preserve">8 </w:t>
      </w:r>
      <w:r w:rsidRPr="006A2D8F">
        <w:rPr>
          <w:rFonts w:asciiTheme="majorHAnsi" w:hAnsiTheme="majorHAnsi"/>
          <w:lang w:val="sr-Cyrl-CS"/>
        </w:rPr>
        <w:t>Računovodstvene politike,promjene računovodstvenih procjena i grešaka.</w:t>
      </w:r>
    </w:p>
    <w:p w:rsidR="006A2D8F" w:rsidRPr="006A2D8F" w:rsidRDefault="006A2D8F" w:rsidP="006A2D8F">
      <w:pPr>
        <w:spacing w:line="276" w:lineRule="auto"/>
        <w:ind w:firstLine="709"/>
        <w:jc w:val="both"/>
        <w:rPr>
          <w:rFonts w:asciiTheme="majorHAnsi" w:hAnsiTheme="majorHAnsi"/>
          <w:lang w:val="sr-Cyrl-CS"/>
        </w:rPr>
      </w:pPr>
      <w:r w:rsidRPr="006A2D8F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="00E91402">
        <w:rPr>
          <w:rFonts w:asciiTheme="majorHAnsi" w:hAnsiTheme="majorHAnsi"/>
        </w:rPr>
        <w:t>2</w:t>
      </w:r>
      <w:r w:rsidRPr="006A2D8F">
        <w:rPr>
          <w:rFonts w:asciiTheme="majorHAnsi" w:hAnsiTheme="majorHAnsi"/>
          <w:lang w:val="sr-Cyrl-CS"/>
        </w:rPr>
        <w:t>% ukupnog prihoda.</w:t>
      </w:r>
    </w:p>
    <w:p w:rsidR="00293C00" w:rsidRPr="00B75503" w:rsidRDefault="00613994" w:rsidP="00B75503">
      <w:pPr>
        <w:pStyle w:val="NoSpacing"/>
        <w:tabs>
          <w:tab w:val="left" w:pos="8789"/>
          <w:tab w:val="left" w:pos="8931"/>
        </w:tabs>
        <w:spacing w:line="276" w:lineRule="auto"/>
        <w:rPr>
          <w:rFonts w:asciiTheme="majorHAnsi" w:hAnsiTheme="majorHAnsi"/>
        </w:rPr>
      </w:pPr>
      <w:r w:rsidRPr="00B75503">
        <w:rPr>
          <w:rFonts w:asciiTheme="majorHAnsi" w:hAnsiTheme="majorHAnsi"/>
        </w:rPr>
        <w:t>Naknadno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ustanovljene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greške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koje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nisu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materijalno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značajne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ispravljaju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se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na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teret</w:t>
      </w:r>
      <w:r w:rsidR="006A2D8F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rashoda</w:t>
      </w:r>
      <w:r w:rsidR="006A2D8F" w:rsidRPr="00B75503">
        <w:rPr>
          <w:rFonts w:asciiTheme="majorHAnsi" w:hAnsiTheme="majorHAnsi"/>
        </w:rPr>
        <w:t>,</w:t>
      </w:r>
      <w:r w:rsidRPr="00B75503">
        <w:rPr>
          <w:rFonts w:asciiTheme="majorHAnsi" w:hAnsiTheme="majorHAnsi"/>
        </w:rPr>
        <w:t>odnosno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u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korist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prihoda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perioda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u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kome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su</w:t>
      </w:r>
      <w:r w:rsidR="00E44E3E" w:rsidRPr="00B75503">
        <w:rPr>
          <w:rFonts w:asciiTheme="majorHAnsi" w:hAnsiTheme="majorHAnsi"/>
        </w:rPr>
        <w:t xml:space="preserve"> </w:t>
      </w:r>
      <w:r w:rsidRPr="00B75503">
        <w:rPr>
          <w:rFonts w:asciiTheme="majorHAnsi" w:hAnsiTheme="majorHAnsi"/>
        </w:rPr>
        <w:t>indentifikovane</w:t>
      </w:r>
      <w:r w:rsidR="00E44E3E" w:rsidRPr="00B75503">
        <w:rPr>
          <w:rFonts w:asciiTheme="majorHAnsi" w:hAnsiTheme="majorHAnsi"/>
        </w:rPr>
        <w:t>.</w:t>
      </w:r>
    </w:p>
    <w:p w:rsidR="00627695" w:rsidRPr="00627695" w:rsidRDefault="00627695" w:rsidP="006A2D8F">
      <w:pPr>
        <w:spacing w:line="276" w:lineRule="auto"/>
        <w:jc w:val="both"/>
        <w:rPr>
          <w:rFonts w:asciiTheme="majorHAnsi" w:hAnsiTheme="majorHAnsi"/>
          <w:bCs/>
          <w:sz w:val="22"/>
          <w:szCs w:val="22"/>
          <w:lang w:val="sr-Latn-CS"/>
        </w:rPr>
      </w:pPr>
    </w:p>
    <w:p w:rsidR="00293C00" w:rsidRDefault="00440D7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Pravila procjenjivanja</w:t>
      </w:r>
    </w:p>
    <w:p w:rsidR="00881C8C" w:rsidRDefault="00881C8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40D7C" w:rsidRDefault="00440D7C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Pr="00440D7C">
        <w:rPr>
          <w:rFonts w:asciiTheme="majorHAnsi" w:hAnsiTheme="majorHAnsi"/>
          <w:bCs/>
          <w:sz w:val="22"/>
          <w:szCs w:val="22"/>
        </w:rPr>
        <w:t xml:space="preserve">Osnovno pravilo procjenjivanja bilansnih pozicija </w:t>
      </w:r>
      <w:r>
        <w:rPr>
          <w:rFonts w:asciiTheme="majorHAnsi" w:hAnsiTheme="majorHAnsi"/>
          <w:bCs/>
          <w:sz w:val="22"/>
          <w:szCs w:val="22"/>
        </w:rPr>
        <w:t>je primjena nabavnih cijena ili cijen koštanja a kod naknadnog vrednovanja koristi se metod naveden u računovodstvenim politikama.</w:t>
      </w:r>
    </w:p>
    <w:p w:rsidR="00744439" w:rsidRDefault="00744439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744439" w:rsidRDefault="00744439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44439">
        <w:rPr>
          <w:rFonts w:asciiTheme="majorHAnsi" w:hAnsiTheme="majorHAnsi"/>
          <w:b/>
          <w:bCs/>
          <w:sz w:val="22"/>
          <w:szCs w:val="22"/>
        </w:rPr>
        <w:t xml:space="preserve"> Načelo poslovanja</w:t>
      </w:r>
    </w:p>
    <w:p w:rsidR="00881C8C" w:rsidRPr="00744439" w:rsidRDefault="00881C8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40D7C" w:rsidRPr="00440D7C" w:rsidRDefault="00440D7C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Finansijski izvještaji su sastavljani u skladu sa načelom stalnosti poslovanja,koje predpostavlja da će Društvo nastaviti da posluje u budućnosti.</w:t>
      </w:r>
    </w:p>
    <w:p w:rsidR="00440D7C" w:rsidRPr="00440D7C" w:rsidRDefault="00440D7C" w:rsidP="00216DF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27695" w:rsidRPr="00440D7C" w:rsidRDefault="00627695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627695" w:rsidRDefault="00627695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293C00">
        <w:rPr>
          <w:rFonts w:asciiTheme="majorHAnsi" w:hAnsiTheme="majorHAnsi"/>
          <w:bCs/>
          <w:sz w:val="22"/>
          <w:szCs w:val="22"/>
        </w:rPr>
        <w:t xml:space="preserve">Tekući </w:t>
      </w:r>
      <w:r>
        <w:rPr>
          <w:rFonts w:asciiTheme="majorHAnsi" w:hAnsiTheme="majorHAnsi"/>
          <w:bCs/>
          <w:sz w:val="22"/>
          <w:szCs w:val="22"/>
        </w:rPr>
        <w:t>i uporedni podaci u finansijskim izvještajima su iskazani u KM.</w:t>
      </w:r>
    </w:p>
    <w:p w:rsidR="00FE626D" w:rsidRDefault="00FE626D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FE626D" w:rsidRDefault="00E82FEC" w:rsidP="00E82FEC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Za potrebe finansijskog izvještavanja prilikom prevođenja stranih valuta u KM,korišteni su sledeći kursevi:</w:t>
      </w:r>
    </w:p>
    <w:p w:rsidR="00E82FEC" w:rsidRDefault="00E82FEC" w:rsidP="00E82FEC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EUR 1,95583</w:t>
      </w:r>
    </w:p>
    <w:p w:rsidR="00FE626D" w:rsidRDefault="00FE626D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CHF</w:t>
      </w:r>
      <w:r w:rsidR="00881AB2">
        <w:rPr>
          <w:rFonts w:asciiTheme="majorHAnsi" w:hAnsiTheme="majorHAnsi"/>
          <w:bCs/>
          <w:sz w:val="22"/>
          <w:szCs w:val="22"/>
        </w:rPr>
        <w:t xml:space="preserve"> 1,808609</w:t>
      </w:r>
    </w:p>
    <w:p w:rsidR="00FE626D" w:rsidRDefault="00FE626D" w:rsidP="00216DF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USD</w:t>
      </w:r>
      <w:r w:rsidR="00881AB2">
        <w:rPr>
          <w:rFonts w:asciiTheme="majorHAnsi" w:hAnsiTheme="majorHAnsi"/>
          <w:bCs/>
          <w:sz w:val="22"/>
          <w:szCs w:val="22"/>
        </w:rPr>
        <w:t xml:space="preserve"> 1,790070</w:t>
      </w:r>
    </w:p>
    <w:p w:rsidR="008F35EA" w:rsidRDefault="00FE626D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G</w:t>
      </w:r>
      <w:r w:rsidR="00627695">
        <w:rPr>
          <w:rFonts w:asciiTheme="majorHAnsi" w:hAnsiTheme="majorHAnsi"/>
          <w:bCs/>
          <w:sz w:val="22"/>
          <w:szCs w:val="22"/>
        </w:rPr>
        <w:t>BP2,6502</w:t>
      </w: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81C8C" w:rsidRDefault="00881C8C" w:rsidP="0062769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F35EA" w:rsidRDefault="008F35EA" w:rsidP="00E67B7A">
      <w:pPr>
        <w:jc w:val="both"/>
        <w:rPr>
          <w:rFonts w:asciiTheme="majorHAnsi" w:hAnsiTheme="majorHAnsi"/>
          <w:bCs/>
          <w:sz w:val="22"/>
          <w:szCs w:val="22"/>
        </w:rPr>
      </w:pPr>
    </w:p>
    <w:p w:rsidR="00C150F7" w:rsidRDefault="00881C8C" w:rsidP="00E67B7A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B71D7C">
        <w:rPr>
          <w:rFonts w:asciiTheme="majorHAnsi" w:hAnsiTheme="majorHAnsi"/>
          <w:bCs/>
          <w:sz w:val="22"/>
          <w:szCs w:val="22"/>
        </w:rPr>
        <w:t xml:space="preserve">     Bilans stanja kao finansijski izvještaj  koji prikazuje finansijski položaj Društva ima sledeće</w:t>
      </w:r>
    </w:p>
    <w:p w:rsidR="00B71D7C" w:rsidRDefault="00B71D7C" w:rsidP="00E67B7A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stanje aktive i pasive.</w:t>
      </w:r>
    </w:p>
    <w:p w:rsidR="00C150F7" w:rsidRDefault="00C150F7" w:rsidP="00E67B7A">
      <w:pPr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9183" w:type="dxa"/>
        <w:tblInd w:w="103" w:type="dxa"/>
        <w:tblLook w:val="04A0"/>
      </w:tblPr>
      <w:tblGrid>
        <w:gridCol w:w="771"/>
        <w:gridCol w:w="771"/>
        <w:gridCol w:w="1433"/>
        <w:gridCol w:w="1324"/>
        <w:gridCol w:w="1042"/>
        <w:gridCol w:w="1346"/>
        <w:gridCol w:w="1324"/>
        <w:gridCol w:w="1172"/>
      </w:tblGrid>
      <w:tr w:rsidR="00C150F7" w:rsidRPr="00C150F7" w:rsidTr="00C150F7">
        <w:trPr>
          <w:trHeight w:val="286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sz w:val="20"/>
                <w:szCs w:val="20"/>
              </w:rPr>
              <w:t>AKTIVA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PASIVA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C150F7" w:rsidRPr="00C150F7" w:rsidTr="00C150F7">
        <w:trPr>
          <w:trHeight w:val="286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150F7" w:rsidRPr="00C150F7" w:rsidTr="00C150F7">
        <w:trPr>
          <w:trHeight w:val="327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71D7C" w:rsidP="00B71D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35.548.482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A43C2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71D7C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19.958.658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BA43C2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  <w:r w:rsidR="00BA43C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1,08</w:t>
            </w:r>
          </w:p>
        </w:tc>
      </w:tr>
      <w:tr w:rsidR="00C150F7" w:rsidRPr="00C150F7" w:rsidTr="00C150F7">
        <w:trPr>
          <w:trHeight w:val="286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71D7C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67.191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0,17</w:t>
            </w:r>
          </w:p>
        </w:tc>
      </w:tr>
      <w:tr w:rsidR="00C150F7" w:rsidRPr="00C150F7" w:rsidTr="00C150F7">
        <w:trPr>
          <w:trHeight w:val="286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71D7C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3.528.165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A43C2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A43C2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1.818.870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A43C2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4,65</w:t>
            </w:r>
          </w:p>
        </w:tc>
      </w:tr>
      <w:tr w:rsidR="00C150F7" w:rsidRPr="00C150F7" w:rsidTr="00C150F7">
        <w:trPr>
          <w:trHeight w:val="32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PVR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71D7C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17.231.928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A43C2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44,10</w:t>
            </w:r>
          </w:p>
        </w:tc>
      </w:tr>
      <w:tr w:rsidR="00C150F7" w:rsidRPr="00C150F7" w:rsidTr="00C150F7">
        <w:trPr>
          <w:trHeight w:val="313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C150F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71D7C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39.076.647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BA43C2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39.076.647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7" w:rsidRPr="00C150F7" w:rsidRDefault="00C150F7" w:rsidP="00C150F7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50F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100,00</w:t>
            </w:r>
          </w:p>
        </w:tc>
      </w:tr>
    </w:tbl>
    <w:p w:rsidR="00C150F7" w:rsidRDefault="00C150F7" w:rsidP="00E67B7A">
      <w:pPr>
        <w:jc w:val="both"/>
        <w:rPr>
          <w:rFonts w:asciiTheme="majorHAnsi" w:hAnsiTheme="majorHAnsi"/>
          <w:bCs/>
          <w:sz w:val="22"/>
          <w:szCs w:val="22"/>
        </w:rPr>
      </w:pPr>
    </w:p>
    <w:p w:rsidR="008F35EA" w:rsidRDefault="008F35EA" w:rsidP="00A455C6">
      <w:pPr>
        <w:ind w:right="49"/>
        <w:jc w:val="both"/>
        <w:rPr>
          <w:rFonts w:asciiTheme="majorHAnsi" w:hAnsiTheme="majorHAnsi"/>
          <w:bCs/>
          <w:sz w:val="22"/>
          <w:szCs w:val="22"/>
        </w:rPr>
      </w:pPr>
    </w:p>
    <w:p w:rsidR="00436D38" w:rsidRPr="00EC06C6" w:rsidRDefault="00436D38" w:rsidP="00C25671">
      <w:pPr>
        <w:tabs>
          <w:tab w:val="left" w:pos="426"/>
        </w:tabs>
        <w:spacing w:line="276" w:lineRule="auto"/>
        <w:rPr>
          <w:b/>
          <w:strike/>
        </w:rPr>
      </w:pPr>
      <w:r w:rsidRPr="00D11B13">
        <w:rPr>
          <w:b/>
          <w:sz w:val="22"/>
          <w:szCs w:val="22"/>
          <w:u w:val="single"/>
        </w:rPr>
        <w:t>NOTA 1.(AOP 001</w:t>
      </w:r>
      <w:r w:rsidRPr="00EC06C6">
        <w:rPr>
          <w:b/>
        </w:rPr>
        <w:t>)</w:t>
      </w:r>
      <w:r w:rsidR="00EC06C6" w:rsidRPr="00EC06C6">
        <w:rPr>
          <w:b/>
        </w:rPr>
        <w:tab/>
      </w:r>
    </w:p>
    <w:p w:rsidR="009511A8" w:rsidRDefault="009511A8" w:rsidP="00C25671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9511A8">
        <w:rPr>
          <w:rFonts w:asciiTheme="majorHAnsi" w:hAnsiTheme="majorHAnsi"/>
          <w:b/>
          <w:bCs/>
          <w:sz w:val="22"/>
          <w:szCs w:val="22"/>
        </w:rPr>
        <w:t>Stalna sredstva</w:t>
      </w:r>
    </w:p>
    <w:p w:rsidR="009511A8" w:rsidRDefault="009511A8" w:rsidP="00C25671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511A8" w:rsidRDefault="00233585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B07DA3">
        <w:rPr>
          <w:rFonts w:asciiTheme="majorHAnsi" w:hAnsiTheme="majorHAnsi"/>
          <w:bCs/>
          <w:sz w:val="22"/>
          <w:szCs w:val="22"/>
        </w:rPr>
        <w:t xml:space="preserve">        </w:t>
      </w:r>
      <w:r>
        <w:rPr>
          <w:rFonts w:asciiTheme="majorHAnsi" w:hAnsiTheme="majorHAnsi"/>
          <w:bCs/>
          <w:sz w:val="22"/>
          <w:szCs w:val="22"/>
        </w:rPr>
        <w:t xml:space="preserve">  </w:t>
      </w:r>
      <w:r w:rsidR="009511A8" w:rsidRPr="009511A8">
        <w:rPr>
          <w:rFonts w:asciiTheme="majorHAnsi" w:hAnsiTheme="majorHAnsi"/>
          <w:bCs/>
          <w:sz w:val="22"/>
          <w:szCs w:val="22"/>
        </w:rPr>
        <w:t>Stal</w:t>
      </w:r>
      <w:r w:rsidR="009511A8">
        <w:rPr>
          <w:rFonts w:asciiTheme="majorHAnsi" w:hAnsiTheme="majorHAnsi"/>
          <w:bCs/>
          <w:sz w:val="22"/>
          <w:szCs w:val="22"/>
        </w:rPr>
        <w:t>na sredstva Društva se sastoje iz nematerijalnih ulaganja,nekretnina,opreme,investicionih nekretnina ,nekretnine u pripremi,učešća u kapitalu zavisnih pravnih lica,dugoročnih finansijskih plasmana i ostalih finansijskih plasmana.</w:t>
      </w:r>
    </w:p>
    <w:tbl>
      <w:tblPr>
        <w:tblW w:w="9377" w:type="dxa"/>
        <w:tblInd w:w="93" w:type="dxa"/>
        <w:tblLook w:val="04A0"/>
      </w:tblPr>
      <w:tblGrid>
        <w:gridCol w:w="535"/>
        <w:gridCol w:w="2155"/>
        <w:gridCol w:w="266"/>
        <w:gridCol w:w="1447"/>
        <w:gridCol w:w="1336"/>
        <w:gridCol w:w="1184"/>
        <w:gridCol w:w="1595"/>
        <w:gridCol w:w="957"/>
      </w:tblGrid>
      <w:tr w:rsidR="00917A51" w:rsidRPr="00EC06C6" w:rsidTr="00D66054">
        <w:trPr>
          <w:trHeight w:val="306"/>
        </w:trPr>
        <w:tc>
          <w:tcPr>
            <w:tcW w:w="5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51" w:rsidRPr="00EC06C6" w:rsidRDefault="00917A51" w:rsidP="00EC06C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C06C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Struktura i kretanje stalne imovine u toku 201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</w:t>
            </w:r>
            <w:r w:rsidRPr="00EC06C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.g.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51" w:rsidRPr="00EC06C6" w:rsidRDefault="00917A51" w:rsidP="00EC06C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51" w:rsidRPr="00EC06C6" w:rsidRDefault="00917A51" w:rsidP="00EC06C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17A51" w:rsidRPr="00EC06C6" w:rsidRDefault="00917A51" w:rsidP="00EC06C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917A51">
            <w:pPr>
              <w:ind w:right="563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Stanje 31.12.15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D60AC0" w:rsidP="00917A51">
            <w:pPr>
              <w:ind w:right="563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%</w:t>
            </w: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145.203,96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2.595,13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147.799,09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C51F99">
            <w:pPr>
              <w:ind w:right="-93"/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0,52</w:t>
            </w: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2.152.618,27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11.498,30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2.164.116,57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7,69</w:t>
            </w:r>
          </w:p>
        </w:tc>
      </w:tr>
      <w:tr w:rsidR="00917A51" w:rsidRPr="00EC06C6" w:rsidTr="00D66054">
        <w:trPr>
          <w:trHeight w:val="3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7.310.641,83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2.295.824,00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9.606.465,83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34,15</w:t>
            </w:r>
          </w:p>
        </w:tc>
      </w:tr>
      <w:tr w:rsidR="00917A51" w:rsidRPr="00EC06C6" w:rsidTr="00D66054">
        <w:trPr>
          <w:trHeight w:val="30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1.343.216,06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169.876,02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24.580,68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1.488.511,40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5,29</w:t>
            </w: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10.905.004,90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3.557.858,07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14.462.862,97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51,40</w:t>
            </w: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157.239,50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106.735,51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263.975,01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color w:val="000000"/>
                <w:sz w:val="20"/>
                <w:szCs w:val="20"/>
              </w:rPr>
              <w:t>Avans za nekretnine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503.000,00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503.000,00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17A51" w:rsidRPr="00EC06C6" w:rsidTr="00D66054">
        <w:trPr>
          <w:trHeight w:val="2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C51F99">
              <w:rPr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1F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22.516.925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6.144.387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527.581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51" w:rsidRPr="00C51F99" w:rsidRDefault="00917A51" w:rsidP="00EC06C6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28.133.730,87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51" w:rsidRPr="00C51F99" w:rsidRDefault="00917A51" w:rsidP="00813249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C51F99">
              <w:rPr>
                <w:rFonts w:ascii="Cambria" w:hAnsi="Cambria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EC06C6" w:rsidRDefault="00EC06C6" w:rsidP="00E67B7A">
      <w:pPr>
        <w:jc w:val="both"/>
        <w:rPr>
          <w:rFonts w:asciiTheme="majorHAnsi" w:hAnsiTheme="majorHAnsi"/>
          <w:bCs/>
          <w:sz w:val="22"/>
          <w:szCs w:val="22"/>
        </w:rPr>
      </w:pPr>
    </w:p>
    <w:p w:rsidR="00917A51" w:rsidRDefault="00917A51" w:rsidP="00E67B7A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U navedenoj strukturi stalnih sredstava </w:t>
      </w:r>
      <w:r w:rsidR="00890EC4">
        <w:rPr>
          <w:rFonts w:asciiTheme="majorHAnsi" w:hAnsiTheme="majorHAnsi"/>
          <w:bCs/>
          <w:sz w:val="22"/>
          <w:szCs w:val="22"/>
        </w:rPr>
        <w:t>najveću stavku</w:t>
      </w:r>
      <w:r>
        <w:rPr>
          <w:rFonts w:asciiTheme="majorHAnsi" w:hAnsiTheme="majorHAnsi"/>
          <w:bCs/>
          <w:sz w:val="22"/>
          <w:szCs w:val="22"/>
        </w:rPr>
        <w:t xml:space="preserve"> zauzimaju investicione nekretnine 51,40%</w:t>
      </w:r>
      <w:r w:rsidR="00890EC4">
        <w:rPr>
          <w:rFonts w:asciiTheme="majorHAnsi" w:hAnsiTheme="majorHAnsi"/>
          <w:bCs/>
          <w:sz w:val="22"/>
          <w:szCs w:val="22"/>
        </w:rPr>
        <w:t>i građevinski objekti 34,15%</w:t>
      </w:r>
      <w:r w:rsidR="00FC2BE2">
        <w:rPr>
          <w:rFonts w:asciiTheme="majorHAnsi" w:hAnsiTheme="majorHAnsi"/>
          <w:bCs/>
          <w:sz w:val="22"/>
          <w:szCs w:val="22"/>
        </w:rPr>
        <w:t xml:space="preserve"> dok se na ostalo odnosi 14,45%.</w:t>
      </w:r>
    </w:p>
    <w:p w:rsidR="00917A51" w:rsidRDefault="00917A51" w:rsidP="00E67B7A">
      <w:pPr>
        <w:jc w:val="both"/>
        <w:rPr>
          <w:rFonts w:asciiTheme="majorHAnsi" w:hAnsiTheme="majorHAnsi"/>
          <w:bCs/>
          <w:sz w:val="22"/>
          <w:szCs w:val="22"/>
        </w:rPr>
      </w:pPr>
    </w:p>
    <w:p w:rsidR="004D155C" w:rsidRDefault="00D60AC0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4001DF">
        <w:rPr>
          <w:rFonts w:asciiTheme="majorHAnsi" w:hAnsiTheme="majorHAnsi"/>
          <w:bCs/>
          <w:sz w:val="22"/>
          <w:szCs w:val="22"/>
        </w:rPr>
        <w:t xml:space="preserve">   </w:t>
      </w:r>
      <w:r w:rsidR="005808DC">
        <w:rPr>
          <w:rFonts w:asciiTheme="majorHAnsi" w:hAnsiTheme="majorHAnsi"/>
          <w:bCs/>
          <w:sz w:val="22"/>
          <w:szCs w:val="22"/>
        </w:rPr>
        <w:t xml:space="preserve"> </w:t>
      </w:r>
      <w:r w:rsidR="001623B9">
        <w:rPr>
          <w:rFonts w:asciiTheme="majorHAnsi" w:hAnsiTheme="majorHAnsi"/>
          <w:bCs/>
          <w:sz w:val="22"/>
          <w:szCs w:val="22"/>
        </w:rPr>
        <w:t xml:space="preserve"> 1.</w:t>
      </w:r>
      <w:r w:rsidR="00D51384">
        <w:rPr>
          <w:rFonts w:asciiTheme="majorHAnsi" w:hAnsiTheme="majorHAnsi"/>
          <w:bCs/>
          <w:sz w:val="22"/>
          <w:szCs w:val="22"/>
        </w:rPr>
        <w:t xml:space="preserve">U toku godine od nematerijalnih ulaganja pojavljuje se ulaganja u: premijski program u iznosu </w:t>
      </w:r>
    </w:p>
    <w:p w:rsidR="005808DC" w:rsidRDefault="005808DC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od </w:t>
      </w:r>
      <w:r w:rsidR="00D51384">
        <w:rPr>
          <w:rFonts w:asciiTheme="majorHAnsi" w:hAnsiTheme="majorHAnsi"/>
          <w:bCs/>
          <w:sz w:val="22"/>
          <w:szCs w:val="22"/>
        </w:rPr>
        <w:t xml:space="preserve">1.617,93 KM,za hamači 152,77 KM,licenca antivirus 684,03KM i za domen 140,40 KM ,što je </w:t>
      </w:r>
      <w:r>
        <w:rPr>
          <w:rFonts w:asciiTheme="majorHAnsi" w:hAnsiTheme="majorHAnsi"/>
          <w:bCs/>
          <w:sz w:val="22"/>
          <w:szCs w:val="22"/>
        </w:rPr>
        <w:t>u ukupnom i</w:t>
      </w:r>
      <w:r w:rsidR="000A166A">
        <w:rPr>
          <w:rFonts w:asciiTheme="majorHAnsi" w:hAnsiTheme="majorHAnsi"/>
          <w:bCs/>
          <w:sz w:val="22"/>
          <w:szCs w:val="22"/>
        </w:rPr>
        <w:t>z</w:t>
      </w:r>
      <w:r>
        <w:rPr>
          <w:rFonts w:asciiTheme="majorHAnsi" w:hAnsiTheme="majorHAnsi"/>
          <w:bCs/>
          <w:sz w:val="22"/>
          <w:szCs w:val="22"/>
        </w:rPr>
        <w:t>nosu od 2.595,13KM.</w:t>
      </w:r>
    </w:p>
    <w:p w:rsidR="00254846" w:rsidRDefault="00254846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Nematerijalna ulaganja su prvobitno i naknadno vrednovana po nabavnoj vrijednosti.</w:t>
      </w:r>
    </w:p>
    <w:p w:rsidR="005808DC" w:rsidRDefault="005808DC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001DF" w:rsidRDefault="001623B9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      2.</w:t>
      </w:r>
      <w:r w:rsidR="004001DF">
        <w:rPr>
          <w:rFonts w:asciiTheme="majorHAnsi" w:hAnsiTheme="majorHAnsi"/>
          <w:bCs/>
          <w:sz w:val="22"/>
          <w:szCs w:val="22"/>
        </w:rPr>
        <w:t>Vrijednost zemlje je u toku 2015g.povećana po osnovu izmjene regulacionog plana u iznosu 3.350KM i po osnovu pretvaranja poljoprivrednog zemljišta u nep</w:t>
      </w:r>
      <w:r w:rsidR="00641F0B">
        <w:rPr>
          <w:rFonts w:asciiTheme="majorHAnsi" w:hAnsiTheme="majorHAnsi"/>
          <w:bCs/>
          <w:sz w:val="22"/>
          <w:szCs w:val="22"/>
        </w:rPr>
        <w:t>oljop</w:t>
      </w:r>
      <w:r w:rsidR="004001DF">
        <w:rPr>
          <w:rFonts w:asciiTheme="majorHAnsi" w:hAnsiTheme="majorHAnsi"/>
          <w:bCs/>
          <w:sz w:val="22"/>
          <w:szCs w:val="22"/>
        </w:rPr>
        <w:t>rivredno u iznosu od 8.148,30 KM u B.Luci.</w:t>
      </w:r>
    </w:p>
    <w:p w:rsidR="000C2AB8" w:rsidRDefault="00A455C6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Zemlja je kao stalna imovina je prvobitno i naknadno vrednovana po trošku nabavke.</w:t>
      </w:r>
    </w:p>
    <w:p w:rsidR="00A455C6" w:rsidRDefault="00A455C6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001DF" w:rsidRDefault="004001DF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</w:t>
      </w:r>
      <w:r w:rsidR="00D60AC0">
        <w:rPr>
          <w:rFonts w:asciiTheme="majorHAnsi" w:hAnsiTheme="majorHAnsi"/>
          <w:bCs/>
          <w:sz w:val="22"/>
          <w:szCs w:val="22"/>
        </w:rPr>
        <w:t xml:space="preserve"> </w:t>
      </w:r>
      <w:r w:rsidR="001623B9">
        <w:rPr>
          <w:rFonts w:asciiTheme="majorHAnsi" w:hAnsiTheme="majorHAnsi"/>
          <w:bCs/>
          <w:sz w:val="22"/>
          <w:szCs w:val="22"/>
        </w:rPr>
        <w:t xml:space="preserve">   3.</w:t>
      </w:r>
      <w:r>
        <w:rPr>
          <w:rFonts w:asciiTheme="majorHAnsi" w:hAnsiTheme="majorHAnsi"/>
          <w:bCs/>
          <w:sz w:val="22"/>
          <w:szCs w:val="22"/>
        </w:rPr>
        <w:t xml:space="preserve">Građevinski objekti su </w:t>
      </w:r>
      <w:r w:rsidR="00003BBD">
        <w:rPr>
          <w:rFonts w:asciiTheme="majorHAnsi" w:hAnsiTheme="majorHAnsi"/>
          <w:bCs/>
          <w:sz w:val="22"/>
          <w:szCs w:val="22"/>
        </w:rPr>
        <w:t>veći u odnosu na početno stanje</w:t>
      </w:r>
      <w:r>
        <w:rPr>
          <w:rFonts w:asciiTheme="majorHAnsi" w:hAnsiTheme="majorHAnsi"/>
          <w:bCs/>
          <w:sz w:val="22"/>
          <w:szCs w:val="22"/>
        </w:rPr>
        <w:t xml:space="preserve"> u iznosu od 2.295.824KM</w:t>
      </w:r>
      <w:r w:rsidR="00A63F63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po osnovu </w:t>
      </w:r>
      <w:r w:rsidR="00233585">
        <w:rPr>
          <w:rFonts w:asciiTheme="majorHAnsi" w:hAnsiTheme="majorHAnsi"/>
          <w:bCs/>
          <w:sz w:val="22"/>
          <w:szCs w:val="22"/>
        </w:rPr>
        <w:t>kupovine objekata u Bijeljini u iznosu od 2.004.026,14KM,</w:t>
      </w:r>
      <w:r w:rsidR="00A63F63">
        <w:rPr>
          <w:rFonts w:asciiTheme="majorHAnsi" w:hAnsiTheme="majorHAnsi"/>
          <w:bCs/>
          <w:sz w:val="22"/>
          <w:szCs w:val="22"/>
        </w:rPr>
        <w:t xml:space="preserve"> </w:t>
      </w:r>
      <w:r w:rsidR="00233585">
        <w:rPr>
          <w:rFonts w:asciiTheme="majorHAnsi" w:hAnsiTheme="majorHAnsi"/>
          <w:bCs/>
          <w:sz w:val="22"/>
          <w:szCs w:val="22"/>
        </w:rPr>
        <w:t xml:space="preserve">Prnjavoru 280.000KM </w:t>
      </w:r>
      <w:r w:rsidR="00A63F63">
        <w:rPr>
          <w:rFonts w:asciiTheme="majorHAnsi" w:hAnsiTheme="majorHAnsi"/>
          <w:bCs/>
          <w:sz w:val="22"/>
          <w:szCs w:val="22"/>
        </w:rPr>
        <w:t>,</w:t>
      </w:r>
      <w:r w:rsidR="00233585">
        <w:rPr>
          <w:rFonts w:asciiTheme="majorHAnsi" w:hAnsiTheme="majorHAnsi"/>
          <w:bCs/>
          <w:sz w:val="22"/>
          <w:szCs w:val="22"/>
        </w:rPr>
        <w:t xml:space="preserve"> po osnovu ulaganja u postojeći objekat Prijedor u iznosu od 6.977 KM i na Palama u iznosu od 4.820,86KM.</w:t>
      </w:r>
    </w:p>
    <w:p w:rsidR="005B731F" w:rsidRDefault="00254846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Građevinski objekti su vrednovani prvobitno po nabavnoj vrijednosti,a naknadno vrednovanje je vršeno po revalorizovanoj vrijednosti.</w:t>
      </w:r>
    </w:p>
    <w:p w:rsidR="00D60AC0" w:rsidRDefault="00D60AC0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233585" w:rsidRDefault="00233585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1623B9">
        <w:rPr>
          <w:rFonts w:asciiTheme="majorHAnsi" w:hAnsiTheme="majorHAnsi"/>
          <w:bCs/>
          <w:sz w:val="22"/>
          <w:szCs w:val="22"/>
        </w:rPr>
        <w:t xml:space="preserve">   4.</w:t>
      </w:r>
      <w:r w:rsidR="00A63F63">
        <w:rPr>
          <w:rFonts w:asciiTheme="majorHAnsi" w:hAnsiTheme="majorHAnsi"/>
          <w:bCs/>
          <w:sz w:val="22"/>
          <w:szCs w:val="22"/>
        </w:rPr>
        <w:t xml:space="preserve">Ulaganje u opremu je u </w:t>
      </w:r>
      <w:r w:rsidR="006215BD">
        <w:rPr>
          <w:rFonts w:asciiTheme="majorHAnsi" w:hAnsiTheme="majorHAnsi"/>
          <w:bCs/>
          <w:sz w:val="22"/>
          <w:szCs w:val="22"/>
        </w:rPr>
        <w:t xml:space="preserve">toku godine </w:t>
      </w:r>
      <w:r w:rsidR="00A63F63">
        <w:rPr>
          <w:rFonts w:asciiTheme="majorHAnsi" w:hAnsiTheme="majorHAnsi"/>
          <w:bCs/>
          <w:sz w:val="22"/>
          <w:szCs w:val="22"/>
        </w:rPr>
        <w:t>veće</w:t>
      </w:r>
      <w:r w:rsidR="000C2AB8">
        <w:rPr>
          <w:rFonts w:asciiTheme="majorHAnsi" w:hAnsiTheme="majorHAnsi"/>
          <w:bCs/>
          <w:sz w:val="22"/>
          <w:szCs w:val="22"/>
        </w:rPr>
        <w:t xml:space="preserve"> </w:t>
      </w:r>
      <w:r w:rsidR="006215BD">
        <w:rPr>
          <w:rFonts w:asciiTheme="majorHAnsi" w:hAnsiTheme="majorHAnsi"/>
          <w:bCs/>
          <w:sz w:val="22"/>
          <w:szCs w:val="22"/>
        </w:rPr>
        <w:t xml:space="preserve"> po osnovu stalnog ulaganja u računarsku opremu</w:t>
      </w:r>
      <w:r w:rsidR="00A96A1D">
        <w:rPr>
          <w:rFonts w:asciiTheme="majorHAnsi" w:hAnsiTheme="majorHAnsi"/>
          <w:bCs/>
          <w:sz w:val="22"/>
          <w:szCs w:val="22"/>
        </w:rPr>
        <w:t xml:space="preserve"> i kancelarijski namještaj u iznosu od </w:t>
      </w:r>
      <w:r w:rsidR="005B731F">
        <w:rPr>
          <w:rFonts w:asciiTheme="majorHAnsi" w:hAnsiTheme="majorHAnsi"/>
          <w:bCs/>
          <w:sz w:val="22"/>
          <w:szCs w:val="22"/>
        </w:rPr>
        <w:t>55.168,02KM,a u iznosu od 114.708 KM je izvršeno povećanje po osnovu kupovine građevinskog objekta u Bijeljini.Do smanjenja opreme je došlo prodajom fiskalnoh kasa u iznosu od 11.947,06KM i isknjižavanjem rashodovane opreme u iznosu od 12.633,62KM.</w:t>
      </w:r>
    </w:p>
    <w:p w:rsidR="000C2AB8" w:rsidRDefault="000C2AB8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</w:p>
    <w:p w:rsidR="005808DC" w:rsidRDefault="000C2AB8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1623B9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 </w:t>
      </w:r>
      <w:r w:rsidR="005808DC">
        <w:rPr>
          <w:rFonts w:asciiTheme="majorHAnsi" w:hAnsiTheme="majorHAnsi"/>
          <w:bCs/>
          <w:sz w:val="22"/>
          <w:szCs w:val="22"/>
        </w:rPr>
        <w:t xml:space="preserve">5.Investicione nekretnine su povećale vrijednost novim kupovinama u Sokocu u vrijednosti </w:t>
      </w:r>
      <w:r w:rsidR="00412412">
        <w:rPr>
          <w:rFonts w:asciiTheme="majorHAnsi" w:hAnsiTheme="majorHAnsi"/>
          <w:bCs/>
          <w:sz w:val="22"/>
          <w:szCs w:val="22"/>
        </w:rPr>
        <w:t>509.984,31KM</w:t>
      </w:r>
      <w:r w:rsidR="005808DC">
        <w:rPr>
          <w:rFonts w:asciiTheme="majorHAnsi" w:hAnsiTheme="majorHAnsi"/>
          <w:bCs/>
          <w:sz w:val="22"/>
          <w:szCs w:val="22"/>
        </w:rPr>
        <w:t>,</w:t>
      </w:r>
      <w:r w:rsidR="00412412">
        <w:rPr>
          <w:rFonts w:asciiTheme="majorHAnsi" w:hAnsiTheme="majorHAnsi"/>
          <w:bCs/>
          <w:sz w:val="22"/>
          <w:szCs w:val="22"/>
        </w:rPr>
        <w:t xml:space="preserve"> i </w:t>
      </w:r>
      <w:r w:rsidR="005808DC">
        <w:rPr>
          <w:rFonts w:asciiTheme="majorHAnsi" w:hAnsiTheme="majorHAnsi"/>
          <w:bCs/>
          <w:sz w:val="22"/>
          <w:szCs w:val="22"/>
        </w:rPr>
        <w:t>nekretnine u Bijeljini u iznosu od 3.047.873,76KM</w:t>
      </w:r>
      <w:r w:rsidR="00412412">
        <w:rPr>
          <w:rFonts w:asciiTheme="majorHAnsi" w:hAnsiTheme="majorHAnsi"/>
          <w:bCs/>
          <w:sz w:val="22"/>
          <w:szCs w:val="22"/>
        </w:rPr>
        <w:t>.</w:t>
      </w:r>
    </w:p>
    <w:p w:rsidR="00412412" w:rsidRDefault="00412412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</w:t>
      </w:r>
      <w:r w:rsidR="00254846">
        <w:rPr>
          <w:rFonts w:asciiTheme="majorHAnsi" w:hAnsiTheme="majorHAnsi"/>
          <w:bCs/>
          <w:sz w:val="22"/>
          <w:szCs w:val="22"/>
        </w:rPr>
        <w:t>Investicione nekretnine su knjižene na osnovu ugovora o kupovini po cijeni nabavke a naknadno vrednovanje je vršeno po fer vrijednosti.</w:t>
      </w:r>
    </w:p>
    <w:p w:rsidR="00254846" w:rsidRDefault="00905805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254846">
        <w:rPr>
          <w:rFonts w:asciiTheme="majorHAnsi" w:hAnsiTheme="majorHAnsi"/>
          <w:bCs/>
          <w:sz w:val="22"/>
          <w:szCs w:val="22"/>
        </w:rPr>
        <w:t xml:space="preserve">Za potrebe finansijskog izvještavanja izvršena je procjena od </w:t>
      </w:r>
      <w:r>
        <w:rPr>
          <w:rFonts w:asciiTheme="majorHAnsi" w:hAnsiTheme="majorHAnsi"/>
          <w:bCs/>
          <w:sz w:val="22"/>
          <w:szCs w:val="22"/>
        </w:rPr>
        <w:t xml:space="preserve">strane </w:t>
      </w:r>
      <w:r w:rsidR="00254846">
        <w:rPr>
          <w:rFonts w:asciiTheme="majorHAnsi" w:hAnsiTheme="majorHAnsi"/>
          <w:bCs/>
          <w:sz w:val="22"/>
          <w:szCs w:val="22"/>
        </w:rPr>
        <w:t>ovlaštenog procjenjivača</w:t>
      </w:r>
      <w:r>
        <w:rPr>
          <w:rFonts w:asciiTheme="majorHAnsi" w:hAnsiTheme="majorHAnsi"/>
          <w:bCs/>
          <w:sz w:val="22"/>
          <w:szCs w:val="22"/>
        </w:rPr>
        <w:t xml:space="preserve"> a čija sadašnja vrijednost odgovara procijenjenoj vrijednosti.</w:t>
      </w:r>
      <w:r w:rsidR="00254846">
        <w:rPr>
          <w:rFonts w:asciiTheme="majorHAnsi" w:hAnsiTheme="majorHAnsi"/>
          <w:bCs/>
          <w:sz w:val="22"/>
          <w:szCs w:val="22"/>
        </w:rPr>
        <w:t>.</w:t>
      </w:r>
    </w:p>
    <w:p w:rsidR="00254846" w:rsidRDefault="00254846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12412" w:rsidRDefault="00412412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6.</w:t>
      </w:r>
      <w:r w:rsidR="00D60AC0">
        <w:rPr>
          <w:rFonts w:asciiTheme="majorHAnsi" w:hAnsiTheme="majorHAnsi"/>
          <w:bCs/>
          <w:sz w:val="22"/>
          <w:szCs w:val="22"/>
        </w:rPr>
        <w:t>Po osnovu kupovine objekta u Sokocu dati avnsi u iznosu od 503.000KM se ukidaju u korist investicionih nekretnina.</w:t>
      </w:r>
    </w:p>
    <w:p w:rsidR="005808DC" w:rsidRDefault="005808DC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0C2AB8" w:rsidRDefault="000C2AB8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5808DC">
        <w:rPr>
          <w:rFonts w:asciiTheme="majorHAnsi" w:hAnsiTheme="majorHAnsi"/>
          <w:bCs/>
          <w:sz w:val="22"/>
          <w:szCs w:val="22"/>
        </w:rPr>
        <w:t>6.</w:t>
      </w:r>
      <w:r>
        <w:rPr>
          <w:rFonts w:asciiTheme="majorHAnsi" w:hAnsiTheme="majorHAnsi"/>
          <w:bCs/>
          <w:sz w:val="22"/>
          <w:szCs w:val="22"/>
        </w:rPr>
        <w:t>Stalna sredstva u pripremi  su  povećala vrijednost</w:t>
      </w:r>
      <w:r w:rsidR="00643C27">
        <w:rPr>
          <w:rFonts w:asciiTheme="majorHAnsi" w:hAnsiTheme="majorHAnsi"/>
          <w:bCs/>
          <w:sz w:val="22"/>
          <w:szCs w:val="22"/>
        </w:rPr>
        <w:t xml:space="preserve"> po osnovu </w:t>
      </w:r>
      <w:r>
        <w:rPr>
          <w:rFonts w:asciiTheme="majorHAnsi" w:hAnsiTheme="majorHAnsi"/>
          <w:bCs/>
          <w:sz w:val="22"/>
          <w:szCs w:val="22"/>
        </w:rPr>
        <w:t xml:space="preserve">novih ulaganja </w:t>
      </w:r>
      <w:r w:rsidR="00643C27">
        <w:rPr>
          <w:rFonts w:asciiTheme="majorHAnsi" w:hAnsiTheme="majorHAnsi"/>
          <w:bCs/>
          <w:sz w:val="22"/>
          <w:szCs w:val="22"/>
        </w:rPr>
        <w:t>u proširenje kapaciteta na postojećim objektima a  na  osnovu odluke organa upravljanja o ulaganju i to:u Doboju 24.629,52,Bratunac 26.382,60KM,B.Luka-Starčevica 35.403,11KM,B.Luka –Derviši 20.320,28 KM.</w:t>
      </w:r>
    </w:p>
    <w:p w:rsidR="00F7724A" w:rsidRDefault="00F7724A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9E344C" w:rsidRDefault="00D60AC0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254846">
        <w:rPr>
          <w:rFonts w:asciiTheme="majorHAnsi" w:hAnsiTheme="majorHAnsi"/>
          <w:bCs/>
          <w:sz w:val="22"/>
          <w:szCs w:val="22"/>
        </w:rPr>
        <w:t>Nova u</w:t>
      </w:r>
      <w:r>
        <w:rPr>
          <w:rFonts w:asciiTheme="majorHAnsi" w:hAnsiTheme="majorHAnsi"/>
          <w:bCs/>
          <w:sz w:val="22"/>
          <w:szCs w:val="22"/>
        </w:rPr>
        <w:t>laganje u objekte</w:t>
      </w:r>
      <w:r w:rsidR="009E344C">
        <w:rPr>
          <w:rFonts w:asciiTheme="majorHAnsi" w:hAnsiTheme="majorHAnsi"/>
          <w:bCs/>
          <w:sz w:val="22"/>
          <w:szCs w:val="22"/>
        </w:rPr>
        <w:t xml:space="preserve"> i nekretnine se vrši uključujući u vrijednost sredstva ,budući da se očekuje da će po osnovu njih u budućnosti priticati u Društvu ekonomske koristi koje su veće od dosadašnjih.</w:t>
      </w:r>
    </w:p>
    <w:p w:rsidR="00002A30" w:rsidRDefault="00002A30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9175" w:type="dxa"/>
        <w:tblInd w:w="93" w:type="dxa"/>
        <w:tblLook w:val="04A0"/>
      </w:tblPr>
      <w:tblGrid>
        <w:gridCol w:w="565"/>
        <w:gridCol w:w="2293"/>
        <w:gridCol w:w="265"/>
        <w:gridCol w:w="1548"/>
        <w:gridCol w:w="1184"/>
        <w:gridCol w:w="1200"/>
        <w:gridCol w:w="2120"/>
      </w:tblGrid>
      <w:tr w:rsidR="00002A30" w:rsidRPr="00002A30" w:rsidTr="00002A30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30" w:rsidRPr="00002A30" w:rsidRDefault="00002A30" w:rsidP="00002A30">
            <w:pPr>
              <w:rPr>
                <w:rFonts w:ascii="Cambria" w:hAnsi="Cambria"/>
                <w:b/>
                <w:bCs/>
                <w:color w:val="000000"/>
              </w:rPr>
            </w:pPr>
            <w:r w:rsidRPr="00002A3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Promjene na ispravci vrijednosti stalnih srestava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30" w:rsidRPr="00002A30" w:rsidRDefault="00002A30" w:rsidP="00002A3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30" w:rsidRPr="00002A30" w:rsidRDefault="00002A30" w:rsidP="00002A3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002A30" w:rsidRPr="00002A30" w:rsidTr="00002A3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Stanje 01.01.15.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Stanje 31.12.15.g.</w:t>
            </w:r>
          </w:p>
        </w:tc>
      </w:tr>
      <w:tr w:rsidR="00002A30" w:rsidRPr="00002A30" w:rsidTr="00002A3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134.988,50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3.119,68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138.108,18</w:t>
            </w:r>
          </w:p>
        </w:tc>
      </w:tr>
      <w:tr w:rsidR="00002A30" w:rsidRPr="00002A30" w:rsidTr="00002A3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3C6B43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2.194.791,76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252.830,21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2.447.621,97</w:t>
            </w:r>
          </w:p>
        </w:tc>
      </w:tr>
      <w:tr w:rsidR="00002A30" w:rsidRPr="00002A30" w:rsidTr="00002A3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3C6B43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1.222.359,22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51.563,17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24.492,16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1.249.430,23</w:t>
            </w:r>
          </w:p>
        </w:tc>
      </w:tr>
      <w:tr w:rsidR="00002A30" w:rsidRPr="00002A30" w:rsidTr="00002A3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3.552.139,48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24.492,16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0" w:rsidRPr="006A4F12" w:rsidRDefault="00002A30" w:rsidP="00002A3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3.835.160,38</w:t>
            </w:r>
          </w:p>
        </w:tc>
      </w:tr>
    </w:tbl>
    <w:p w:rsidR="001A3DB2" w:rsidRDefault="001A3DB2" w:rsidP="00E67B7A">
      <w:pPr>
        <w:jc w:val="both"/>
        <w:rPr>
          <w:rFonts w:asciiTheme="majorHAnsi" w:hAnsiTheme="majorHAnsi"/>
          <w:bCs/>
          <w:sz w:val="22"/>
          <w:szCs w:val="22"/>
        </w:rPr>
      </w:pPr>
    </w:p>
    <w:p w:rsidR="00437F00" w:rsidRDefault="00DE5DEE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</w:t>
      </w:r>
      <w:r w:rsidR="002C45AC">
        <w:rPr>
          <w:rFonts w:asciiTheme="majorHAnsi" w:hAnsiTheme="majorHAnsi"/>
          <w:bCs/>
          <w:sz w:val="22"/>
          <w:szCs w:val="22"/>
        </w:rPr>
        <w:t xml:space="preserve"> </w:t>
      </w:r>
      <w:r w:rsidR="00437F00">
        <w:rPr>
          <w:rFonts w:asciiTheme="majorHAnsi" w:hAnsiTheme="majorHAnsi"/>
          <w:bCs/>
          <w:sz w:val="22"/>
          <w:szCs w:val="22"/>
        </w:rPr>
        <w:t>1.</w:t>
      </w:r>
      <w:r w:rsidR="001A3DB2">
        <w:rPr>
          <w:rFonts w:asciiTheme="majorHAnsi" w:hAnsiTheme="majorHAnsi"/>
          <w:bCs/>
          <w:sz w:val="22"/>
          <w:szCs w:val="22"/>
        </w:rPr>
        <w:t>Nematerijalna ulaganja</w:t>
      </w:r>
      <w:r w:rsidR="00437F00">
        <w:rPr>
          <w:rFonts w:asciiTheme="majorHAnsi" w:hAnsiTheme="majorHAnsi"/>
          <w:bCs/>
          <w:sz w:val="22"/>
          <w:szCs w:val="22"/>
        </w:rPr>
        <w:t>, definisana MRS 38,</w:t>
      </w:r>
      <w:r w:rsidR="001A3DB2">
        <w:rPr>
          <w:rFonts w:asciiTheme="majorHAnsi" w:hAnsiTheme="majorHAnsi"/>
          <w:bCs/>
          <w:sz w:val="22"/>
          <w:szCs w:val="22"/>
        </w:rPr>
        <w:t>se</w:t>
      </w:r>
      <w:r w:rsidR="00437F00">
        <w:rPr>
          <w:rFonts w:asciiTheme="majorHAnsi" w:hAnsiTheme="majorHAnsi"/>
          <w:bCs/>
          <w:sz w:val="22"/>
          <w:szCs w:val="22"/>
        </w:rPr>
        <w:t xml:space="preserve"> u skladu sa MRS 16 iskazuju po nabavnoj vrijednosti umanjena za akumulisanu amortizaciju.Primjenjuje se linearni metod otpisivanja po stopi od 20%.</w:t>
      </w:r>
    </w:p>
    <w:p w:rsidR="00437F00" w:rsidRDefault="003C6B4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Obračunati iznos amortizacije zavisno od datuma nabavke iznosi 3.119,68 KM.</w:t>
      </w:r>
    </w:p>
    <w:p w:rsidR="003C6B43" w:rsidRDefault="003C6B4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37F00" w:rsidRDefault="00DE5DEE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</w:t>
      </w:r>
      <w:r w:rsidR="00437F00">
        <w:rPr>
          <w:rFonts w:asciiTheme="majorHAnsi" w:hAnsiTheme="majorHAnsi"/>
          <w:bCs/>
          <w:sz w:val="22"/>
          <w:szCs w:val="22"/>
        </w:rPr>
        <w:t>2.Građevinski objekti koji služe za obavljanje registrovane djelatnosti se vode u poslovnim knjigama u skladu sa MRS 16 po revalorizovanoj vrijednosti</w:t>
      </w:r>
      <w:r w:rsidR="00962C53">
        <w:rPr>
          <w:rFonts w:asciiTheme="majorHAnsi" w:hAnsiTheme="majorHAnsi"/>
          <w:bCs/>
          <w:sz w:val="22"/>
          <w:szCs w:val="22"/>
        </w:rPr>
        <w:t>,</w:t>
      </w:r>
      <w:r w:rsidR="00437F00">
        <w:rPr>
          <w:rFonts w:asciiTheme="majorHAnsi" w:hAnsiTheme="majorHAnsi"/>
          <w:bCs/>
          <w:sz w:val="22"/>
          <w:szCs w:val="22"/>
        </w:rPr>
        <w:t xml:space="preserve"> umanjenu za akumulisanu amortizaciju.</w:t>
      </w:r>
    </w:p>
    <w:p w:rsidR="00962C53" w:rsidRDefault="00962C5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Obračun amortizacije se vrši linearnom metodom po stopama od 2.</w:t>
      </w:r>
      <w:r w:rsidR="003C6B43">
        <w:rPr>
          <w:rFonts w:asciiTheme="majorHAnsi" w:hAnsiTheme="majorHAnsi"/>
          <w:bCs/>
          <w:sz w:val="22"/>
          <w:szCs w:val="22"/>
        </w:rPr>
        <w:t>23-6,67%,a koja iznosi 252.830,21KM.</w:t>
      </w:r>
    </w:p>
    <w:p w:rsidR="003C6B43" w:rsidRDefault="003C6B4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3C6B43" w:rsidRDefault="002C45AC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3C6B43">
        <w:rPr>
          <w:rFonts w:asciiTheme="majorHAnsi" w:hAnsiTheme="majorHAnsi"/>
          <w:bCs/>
          <w:sz w:val="22"/>
          <w:szCs w:val="22"/>
        </w:rPr>
        <w:t xml:space="preserve">Po osnovu revalorizacije građevinskih objekata formirane su rezerve koje se u toku korištenja objekata otpisuju u iznosu razlike obračuna amortizacije </w:t>
      </w:r>
      <w:r>
        <w:rPr>
          <w:rFonts w:asciiTheme="majorHAnsi" w:hAnsiTheme="majorHAnsi"/>
          <w:bCs/>
          <w:sz w:val="22"/>
          <w:szCs w:val="22"/>
        </w:rPr>
        <w:t>po nabavnoj</w:t>
      </w:r>
      <w:r w:rsidR="003C6B43">
        <w:rPr>
          <w:rFonts w:asciiTheme="majorHAnsi" w:hAnsiTheme="majorHAnsi"/>
          <w:bCs/>
          <w:sz w:val="22"/>
          <w:szCs w:val="22"/>
        </w:rPr>
        <w:t xml:space="preserve"> vrijednosi i </w:t>
      </w:r>
      <w:r>
        <w:rPr>
          <w:rFonts w:asciiTheme="majorHAnsi" w:hAnsiTheme="majorHAnsi"/>
          <w:bCs/>
          <w:sz w:val="22"/>
          <w:szCs w:val="22"/>
        </w:rPr>
        <w:t>revalorizovanoj</w:t>
      </w:r>
      <w:r w:rsidR="003C6B43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vrijednosti</w:t>
      </w:r>
      <w:r w:rsidR="003C6B43">
        <w:rPr>
          <w:rFonts w:asciiTheme="majorHAnsi" w:hAnsiTheme="majorHAnsi"/>
          <w:bCs/>
          <w:sz w:val="22"/>
          <w:szCs w:val="22"/>
        </w:rPr>
        <w:t xml:space="preserve"> , u korist neraspoređene dobiti iz ranijih godina.</w:t>
      </w:r>
    </w:p>
    <w:p w:rsidR="003C6B43" w:rsidRDefault="003C6B4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3C6B43" w:rsidRDefault="00DE5DEE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3C6B43">
        <w:rPr>
          <w:rFonts w:asciiTheme="majorHAnsi" w:hAnsiTheme="majorHAnsi"/>
          <w:bCs/>
          <w:sz w:val="22"/>
          <w:szCs w:val="22"/>
        </w:rPr>
        <w:t xml:space="preserve">3.Oprema se </w:t>
      </w:r>
      <w:r w:rsidR="009A7E96">
        <w:rPr>
          <w:rFonts w:asciiTheme="majorHAnsi" w:hAnsiTheme="majorHAnsi"/>
          <w:bCs/>
          <w:sz w:val="22"/>
          <w:szCs w:val="22"/>
        </w:rPr>
        <w:t xml:space="preserve">u skladu sa MRS 16 iskazuje po nabavnoj vrijednosti,umanjena za akumulisanu amortizaciju.Oprema se otpisuje linearnom metodom po stopama iz Nomeklature Pravilnika o porezu na dobit i kreće se od 11-25%.Obračunati iznos amortizacije u </w:t>
      </w:r>
      <w:r w:rsidR="00CC6EC4">
        <w:rPr>
          <w:rFonts w:asciiTheme="majorHAnsi" w:hAnsiTheme="majorHAnsi"/>
          <w:bCs/>
          <w:sz w:val="22"/>
          <w:szCs w:val="22"/>
        </w:rPr>
        <w:t>toku godine iznosi 51.563,17 K</w:t>
      </w:r>
      <w:r w:rsidR="005475D7">
        <w:rPr>
          <w:rFonts w:asciiTheme="majorHAnsi" w:hAnsiTheme="majorHAnsi"/>
          <w:bCs/>
          <w:sz w:val="22"/>
          <w:szCs w:val="22"/>
        </w:rPr>
        <w:t>M.Iznos obračunate amortizacije,visina,</w:t>
      </w:r>
      <w:r w:rsidR="00CC6EC4">
        <w:rPr>
          <w:rFonts w:asciiTheme="majorHAnsi" w:hAnsiTheme="majorHAnsi"/>
          <w:bCs/>
          <w:sz w:val="22"/>
          <w:szCs w:val="22"/>
        </w:rPr>
        <w:t>ukazuje da je otpisanost opreme 83,94% obzirom da je</w:t>
      </w:r>
      <w:r w:rsidR="008E4D35">
        <w:rPr>
          <w:rFonts w:asciiTheme="majorHAnsi" w:hAnsiTheme="majorHAnsi"/>
          <w:bCs/>
          <w:sz w:val="22"/>
          <w:szCs w:val="22"/>
        </w:rPr>
        <w:t xml:space="preserve"> sadašnja vrijednost 239.081,17KM.</w:t>
      </w:r>
      <w:r w:rsidR="00CC6EC4">
        <w:rPr>
          <w:rFonts w:asciiTheme="majorHAnsi" w:hAnsiTheme="majorHAnsi"/>
          <w:bCs/>
          <w:sz w:val="22"/>
          <w:szCs w:val="22"/>
        </w:rPr>
        <w:t xml:space="preserve"> </w:t>
      </w:r>
    </w:p>
    <w:p w:rsidR="00CE50B3" w:rsidRDefault="00CE50B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CE50B3" w:rsidRDefault="0005460A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CE50B3">
        <w:rPr>
          <w:rFonts w:asciiTheme="majorHAnsi" w:hAnsiTheme="majorHAnsi"/>
          <w:bCs/>
          <w:sz w:val="22"/>
          <w:szCs w:val="22"/>
        </w:rPr>
        <w:t xml:space="preserve">Investicione nekretnine se ne amortizuju već se za procjenjivanje koristi MRS 40 koji upućuje da se investicione nekretnine vode po fer vrijednosti.Efekti promjena </w:t>
      </w:r>
      <w:r w:rsidR="0041224F">
        <w:rPr>
          <w:rFonts w:asciiTheme="majorHAnsi" w:hAnsiTheme="majorHAnsi"/>
          <w:bCs/>
          <w:sz w:val="22"/>
          <w:szCs w:val="22"/>
        </w:rPr>
        <w:t xml:space="preserve">fer vrijednosti </w:t>
      </w:r>
      <w:r w:rsidR="00CE50B3">
        <w:rPr>
          <w:rFonts w:asciiTheme="majorHAnsi" w:hAnsiTheme="majorHAnsi"/>
          <w:bCs/>
          <w:sz w:val="22"/>
          <w:szCs w:val="22"/>
        </w:rPr>
        <w:t>na više ili niže ide preko bilansa uspjeha.</w:t>
      </w:r>
    </w:p>
    <w:p w:rsidR="009847DF" w:rsidRDefault="009847DF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9120" w:type="dxa"/>
        <w:tblInd w:w="93" w:type="dxa"/>
        <w:tblLook w:val="04A0"/>
      </w:tblPr>
      <w:tblGrid>
        <w:gridCol w:w="9120"/>
      </w:tblGrid>
      <w:tr w:rsidR="00ED1651" w:rsidRPr="00ED1651" w:rsidTr="00ED1651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1" w:rsidRDefault="00ED1651" w:rsidP="00C25671">
            <w:pPr>
              <w:spacing w:line="276" w:lineRule="auto"/>
              <w:jc w:val="both"/>
              <w:rPr>
                <w:rFonts w:asciiTheme="majorHAnsi" w:hAnsiTheme="majorHAnsi"/>
                <w:b/>
                <w:iCs/>
                <w:color w:val="000000"/>
                <w:u w:val="single"/>
              </w:rPr>
            </w:pPr>
            <w:r w:rsidRPr="00ED1651">
              <w:rPr>
                <w:rFonts w:asciiTheme="majorHAnsi" w:hAnsiTheme="majorHAnsi"/>
                <w:b/>
                <w:iCs/>
                <w:color w:val="000000"/>
                <w:sz w:val="22"/>
                <w:szCs w:val="22"/>
                <w:u w:val="single"/>
              </w:rPr>
              <w:t>NOTA 2(AOP 17)</w:t>
            </w:r>
          </w:p>
          <w:p w:rsidR="000D42AB" w:rsidRDefault="000D42AB" w:rsidP="00C25671">
            <w:pPr>
              <w:spacing w:line="276" w:lineRule="auto"/>
              <w:jc w:val="both"/>
              <w:rPr>
                <w:rFonts w:asciiTheme="majorHAnsi" w:hAnsiTheme="majorHAnsi"/>
                <w:b/>
                <w:iCs/>
                <w:color w:val="000000"/>
              </w:rPr>
            </w:pPr>
            <w:r w:rsidRPr="000D42AB">
              <w:rPr>
                <w:rFonts w:asciiTheme="majorHAnsi" w:hAnsiTheme="majorHAnsi"/>
                <w:b/>
                <w:iCs/>
                <w:color w:val="000000"/>
                <w:sz w:val="22"/>
                <w:szCs w:val="22"/>
              </w:rPr>
              <w:t>Dugoročni finansijski plasmani</w:t>
            </w:r>
          </w:p>
          <w:p w:rsidR="001D71DB" w:rsidRPr="000D42AB" w:rsidRDefault="001D71DB" w:rsidP="00C25671">
            <w:pPr>
              <w:spacing w:line="276" w:lineRule="auto"/>
              <w:jc w:val="both"/>
              <w:rPr>
                <w:rFonts w:asciiTheme="majorHAnsi" w:hAnsiTheme="majorHAnsi"/>
                <w:b/>
                <w:iCs/>
                <w:color w:val="000000"/>
              </w:rPr>
            </w:pPr>
          </w:p>
          <w:p w:rsidR="00ED1651" w:rsidRPr="00ED1651" w:rsidRDefault="00B07DA3" w:rsidP="00C25671">
            <w:pPr>
              <w:spacing w:line="276" w:lineRule="auto"/>
              <w:jc w:val="both"/>
              <w:rPr>
                <w:rFonts w:asciiTheme="majorHAnsi" w:hAnsiTheme="majorHAnsi"/>
                <w:iCs/>
                <w:color w:val="000000"/>
              </w:rPr>
            </w:pPr>
            <w:r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 xml:space="preserve">       </w:t>
            </w:r>
            <w:r w:rsidR="0051798E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 xml:space="preserve">  </w:t>
            </w:r>
            <w:r w:rsidR="00ED1651" w:rsidRPr="00ED165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 xml:space="preserve">Društvo je uložilo 2006.g.u kapital povezanog pravnog lica ,,Autocentar Nešković" doo Bijeljina </w:t>
            </w:r>
            <w:r w:rsidR="0051798E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>,</w:t>
            </w:r>
            <w:r w:rsidR="00ED1651" w:rsidRPr="00ED165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>iznos</w:t>
            </w:r>
            <w:r w:rsidR="00ED165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 xml:space="preserve"> od 600.000KM.</w:t>
            </w:r>
          </w:p>
        </w:tc>
      </w:tr>
    </w:tbl>
    <w:p w:rsidR="009847DF" w:rsidRDefault="00990CE0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ED1651">
        <w:rPr>
          <w:rFonts w:asciiTheme="majorHAnsi" w:hAnsiTheme="majorHAnsi"/>
          <w:bCs/>
          <w:sz w:val="22"/>
          <w:szCs w:val="22"/>
        </w:rPr>
        <w:t xml:space="preserve"> Obzirom da je Društvo izvršilo ulaganje u navedeno pravno lice sa učešćem u kapitali sa 82,64%,</w:t>
      </w:r>
    </w:p>
    <w:p w:rsidR="00ED1651" w:rsidRDefault="00990CE0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ED1651">
        <w:rPr>
          <w:rFonts w:asciiTheme="majorHAnsi" w:hAnsiTheme="majorHAnsi"/>
          <w:bCs/>
          <w:sz w:val="22"/>
          <w:szCs w:val="22"/>
        </w:rPr>
        <w:t xml:space="preserve"> vrši se konsolidacija finansijskih izvještaja.</w:t>
      </w:r>
    </w:p>
    <w:p w:rsidR="002C1426" w:rsidRDefault="002C1426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2C1426" w:rsidRDefault="00D17394" w:rsidP="007A2F8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2C1426" w:rsidRPr="00D17394">
        <w:rPr>
          <w:rFonts w:asciiTheme="majorHAnsi" w:hAnsiTheme="majorHAnsi"/>
          <w:b/>
          <w:bCs/>
          <w:sz w:val="22"/>
          <w:szCs w:val="22"/>
          <w:u w:val="single"/>
        </w:rPr>
        <w:t>NOTA 3(AOP 021)</w:t>
      </w:r>
    </w:p>
    <w:p w:rsidR="00D17394" w:rsidRDefault="00D17394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17394">
        <w:rPr>
          <w:rFonts w:asciiTheme="majorHAnsi" w:hAnsiTheme="majorHAnsi"/>
          <w:b/>
          <w:bCs/>
          <w:sz w:val="22"/>
          <w:szCs w:val="22"/>
        </w:rPr>
        <w:t>Dugoročni finansijski plasmani u zemlji</w:t>
      </w:r>
    </w:p>
    <w:p w:rsidR="00846322" w:rsidRDefault="00846322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46322" w:rsidRDefault="0038353F" w:rsidP="007A2F82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846322" w:rsidRPr="00846322">
        <w:rPr>
          <w:rFonts w:asciiTheme="majorHAnsi" w:hAnsiTheme="majorHAnsi"/>
          <w:bCs/>
          <w:sz w:val="22"/>
          <w:szCs w:val="22"/>
        </w:rPr>
        <w:t xml:space="preserve">Dugoročni finansijski plasmani </w:t>
      </w:r>
      <w:r w:rsidR="00846322">
        <w:rPr>
          <w:rFonts w:asciiTheme="majorHAnsi" w:hAnsiTheme="majorHAnsi"/>
          <w:bCs/>
          <w:sz w:val="22"/>
          <w:szCs w:val="22"/>
        </w:rPr>
        <w:t>u zemlji prestavljaju ulaganja u depozite u bankama i dugoročne zajmove.</w:t>
      </w:r>
    </w:p>
    <w:p w:rsidR="00F252BA" w:rsidRDefault="00F252BA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F252BA" w:rsidRDefault="00F252BA" w:rsidP="007A2F82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Dugoročni depoziti</w:t>
      </w:r>
    </w:p>
    <w:tbl>
      <w:tblPr>
        <w:tblW w:w="9427" w:type="dxa"/>
        <w:tblInd w:w="93" w:type="dxa"/>
        <w:tblLook w:val="04A0"/>
      </w:tblPr>
      <w:tblGrid>
        <w:gridCol w:w="1987"/>
        <w:gridCol w:w="1275"/>
        <w:gridCol w:w="439"/>
        <w:gridCol w:w="1240"/>
        <w:gridCol w:w="2018"/>
        <w:gridCol w:w="1514"/>
        <w:gridCol w:w="954"/>
      </w:tblGrid>
      <w:tr w:rsidR="00F252BA" w:rsidRPr="00F252BA" w:rsidTr="00304F65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%kam.</w:t>
            </w:r>
          </w:p>
        </w:tc>
      </w:tr>
      <w:tr w:rsidR="00F252BA" w:rsidRPr="00F252BA" w:rsidTr="00304F65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 xml:space="preserve">Nova banka ad </w:t>
            </w: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B.Luka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18.03.2014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18.03.2017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1000734159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801.890,30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4,20</w:t>
            </w:r>
          </w:p>
        </w:tc>
      </w:tr>
      <w:tr w:rsidR="00F252BA" w:rsidRPr="00F252BA" w:rsidTr="00304F65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Nova banka ad B.Luka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30.05.2014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1000778661-1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1.760.247,00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4,20</w:t>
            </w:r>
          </w:p>
        </w:tc>
      </w:tr>
      <w:tr w:rsidR="00F252BA" w:rsidRPr="00F252BA" w:rsidTr="00304F65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Nova banka ad B.Luka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18.03.2014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18.03.2017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1000734230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841.006,90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4,20</w:t>
            </w:r>
          </w:p>
        </w:tc>
      </w:tr>
      <w:tr w:rsidR="00F252BA" w:rsidRPr="00F252BA" w:rsidTr="00304F65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Nova banka ad B.Luka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02.04.2014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02.04.2017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1000744308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1.017.031,60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4,20</w:t>
            </w:r>
          </w:p>
        </w:tc>
      </w:tr>
      <w:tr w:rsidR="00F252BA" w:rsidRPr="00F252BA" w:rsidTr="00304F65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Nova banka ad B.Luka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05.05.2014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1000762292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1.698.899,71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2,00</w:t>
            </w:r>
          </w:p>
        </w:tc>
      </w:tr>
      <w:tr w:rsidR="00F252BA" w:rsidRPr="00F252BA" w:rsidTr="002D0BFE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Sberbanka ad B.Luka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09.10.2017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ind w:right="-303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5671515590023093093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3,00</w:t>
            </w:r>
          </w:p>
        </w:tc>
      </w:tr>
      <w:tr w:rsidR="00F252BA" w:rsidRPr="00F252BA" w:rsidTr="002D0BFE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MF Banka ad B.Luka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03.09.2017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3702/15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4,20</w:t>
            </w:r>
          </w:p>
        </w:tc>
      </w:tr>
      <w:tr w:rsidR="00F252BA" w:rsidRPr="00F252BA" w:rsidTr="00304F65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B92F32" w:rsidP="00B92F3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  <w:r w:rsidR="00F252BA" w:rsidRPr="006A4F1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="00F252BA" w:rsidRPr="006A4F12">
              <w:rPr>
                <w:rFonts w:ascii="Cambria" w:hAnsi="Cambria"/>
                <w:color w:val="000000"/>
                <w:sz w:val="20"/>
                <w:szCs w:val="20"/>
              </w:rPr>
              <w:t>48.403,51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A" w:rsidRPr="006A4F12" w:rsidRDefault="00F252BA" w:rsidP="00F252B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F252BA" w:rsidRDefault="00F252BA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8F2EB7" w:rsidRDefault="008F2EB7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</w:t>
      </w:r>
      <w:r w:rsidR="00B07DA3">
        <w:rPr>
          <w:rFonts w:asciiTheme="majorHAnsi" w:hAnsiTheme="majorHAnsi"/>
          <w:bCs/>
          <w:sz w:val="22"/>
          <w:szCs w:val="22"/>
        </w:rPr>
        <w:t xml:space="preserve">        </w:t>
      </w:r>
      <w:r>
        <w:rPr>
          <w:rFonts w:asciiTheme="majorHAnsi" w:hAnsiTheme="majorHAnsi"/>
          <w:bCs/>
          <w:sz w:val="22"/>
          <w:szCs w:val="22"/>
        </w:rPr>
        <w:t xml:space="preserve"> Društvo je iz slobodnih novčanih sredstava vršilo ulaganje u dugoročne depozite u bankama a koji služe za pokriće garantnog fonda i tehničkih rezervi Društva u skadu sa Pravilnikom o ulaganju sredstava društava za osiguranje.Vodeći računa o isplativosti ulaganja</w:t>
      </w:r>
      <w:r w:rsidR="008F1576">
        <w:rPr>
          <w:rFonts w:asciiTheme="majorHAnsi" w:hAnsiTheme="majorHAnsi"/>
          <w:bCs/>
          <w:sz w:val="22"/>
          <w:szCs w:val="22"/>
        </w:rPr>
        <w:t>,</w:t>
      </w:r>
      <w:r>
        <w:rPr>
          <w:rFonts w:asciiTheme="majorHAnsi" w:hAnsiTheme="majorHAnsi"/>
          <w:bCs/>
          <w:sz w:val="22"/>
          <w:szCs w:val="22"/>
        </w:rPr>
        <w:t xml:space="preserve">disperziji ulaganja po navedenim depozitima je društvo ostvarilo </w:t>
      </w:r>
      <w:r w:rsidR="00363372">
        <w:rPr>
          <w:rFonts w:asciiTheme="majorHAnsi" w:hAnsiTheme="majorHAnsi"/>
          <w:bCs/>
          <w:sz w:val="22"/>
          <w:szCs w:val="22"/>
        </w:rPr>
        <w:t>prihod od kamata u iznosu od 435.863,27 KM.</w:t>
      </w:r>
    </w:p>
    <w:p w:rsidR="00F84AF8" w:rsidRDefault="00F84AF8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F84AF8" w:rsidRDefault="00F84AF8" w:rsidP="007A2F82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Stanje depozita i obračunatih kamata je usaglašeno sa bankama putem IOS-a sa stanjem </w:t>
      </w:r>
      <w:r w:rsidR="00B502A6">
        <w:rPr>
          <w:rFonts w:asciiTheme="majorHAnsi" w:hAnsiTheme="majorHAnsi"/>
          <w:bCs/>
          <w:sz w:val="22"/>
          <w:szCs w:val="22"/>
        </w:rPr>
        <w:t>na</w:t>
      </w:r>
      <w:r>
        <w:rPr>
          <w:rFonts w:asciiTheme="majorHAnsi" w:hAnsiTheme="majorHAnsi"/>
          <w:bCs/>
          <w:sz w:val="22"/>
          <w:szCs w:val="22"/>
        </w:rPr>
        <w:t xml:space="preserve"> dan 31.12.2015.g.</w:t>
      </w:r>
    </w:p>
    <w:p w:rsidR="00DA7DE9" w:rsidRDefault="00DA7DE9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DA7DE9" w:rsidRPr="00053CE0" w:rsidRDefault="00DA7DE9" w:rsidP="007A2F82">
      <w:pPr>
        <w:jc w:val="both"/>
        <w:rPr>
          <w:rFonts w:asciiTheme="majorHAnsi" w:hAnsiTheme="majorHAnsi"/>
          <w:bCs/>
          <w:sz w:val="22"/>
          <w:szCs w:val="22"/>
        </w:rPr>
      </w:pPr>
      <w:r w:rsidRPr="00053CE0">
        <w:rPr>
          <w:rFonts w:asciiTheme="majorHAnsi" w:hAnsiTheme="majorHAnsi"/>
          <w:bCs/>
          <w:sz w:val="22"/>
          <w:szCs w:val="22"/>
        </w:rPr>
        <w:t xml:space="preserve">Dugoročni finansijski plasmani- </w:t>
      </w:r>
      <w:r w:rsidR="000A0BD8" w:rsidRPr="00053CE0">
        <w:rPr>
          <w:rFonts w:asciiTheme="majorHAnsi" w:hAnsiTheme="majorHAnsi"/>
          <w:bCs/>
          <w:sz w:val="22"/>
          <w:szCs w:val="22"/>
        </w:rPr>
        <w:t>zajam</w:t>
      </w:r>
    </w:p>
    <w:tbl>
      <w:tblPr>
        <w:tblW w:w="9427" w:type="dxa"/>
        <w:tblInd w:w="93" w:type="dxa"/>
        <w:tblLook w:val="04A0"/>
      </w:tblPr>
      <w:tblGrid>
        <w:gridCol w:w="1987"/>
        <w:gridCol w:w="1275"/>
        <w:gridCol w:w="439"/>
        <w:gridCol w:w="1240"/>
        <w:gridCol w:w="2018"/>
        <w:gridCol w:w="1514"/>
        <w:gridCol w:w="954"/>
      </w:tblGrid>
      <w:tr w:rsidR="00DA7DE9" w:rsidRPr="00F252BA" w:rsidTr="00DD45DB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E171E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 xml:space="preserve">Naziv </w:t>
            </w:r>
            <w:r w:rsidR="00E171E1" w:rsidRPr="006A4F12">
              <w:rPr>
                <w:rFonts w:ascii="Cambria" w:hAnsi="Cambria"/>
                <w:color w:val="000000"/>
                <w:sz w:val="20"/>
                <w:szCs w:val="20"/>
              </w:rPr>
              <w:t>komitenta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%kam.</w:t>
            </w:r>
          </w:p>
        </w:tc>
      </w:tr>
      <w:tr w:rsidR="00DA7DE9" w:rsidRPr="00F252BA" w:rsidTr="00DD45DB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E171E1" w:rsidP="00DD45D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Brčko gas Brčko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022D84" w:rsidP="00DD45D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DA7DE9" w:rsidP="00DD45D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332744" w:rsidP="003327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332744" w:rsidP="00DD45D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01-1412/2015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332744" w:rsidP="00DD45D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E9" w:rsidRPr="006A4F12" w:rsidRDefault="00332744" w:rsidP="00DD45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color w:val="000000"/>
                <w:sz w:val="20"/>
                <w:szCs w:val="20"/>
              </w:rPr>
              <w:t>3,10</w:t>
            </w:r>
          </w:p>
        </w:tc>
      </w:tr>
    </w:tbl>
    <w:p w:rsidR="00DA7DE9" w:rsidRDefault="00DA7DE9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0A0BD8" w:rsidRDefault="000A0BD8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51798E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F63021">
        <w:rPr>
          <w:rFonts w:asciiTheme="majorHAnsi" w:hAnsiTheme="majorHAnsi"/>
          <w:bCs/>
          <w:sz w:val="22"/>
          <w:szCs w:val="22"/>
        </w:rPr>
        <w:t xml:space="preserve"> </w:t>
      </w:r>
      <w:r w:rsidR="00B07DA3">
        <w:rPr>
          <w:rFonts w:asciiTheme="majorHAnsi" w:hAnsiTheme="majorHAnsi"/>
          <w:bCs/>
          <w:sz w:val="22"/>
          <w:szCs w:val="22"/>
        </w:rPr>
        <w:t xml:space="preserve">      </w:t>
      </w:r>
      <w:r>
        <w:rPr>
          <w:rFonts w:asciiTheme="majorHAnsi" w:hAnsiTheme="majorHAnsi"/>
          <w:bCs/>
          <w:sz w:val="22"/>
          <w:szCs w:val="22"/>
        </w:rPr>
        <w:t xml:space="preserve"> Iz slobodnih novčanih sredstava Društvo je odobrilo zajam pravnom licu Brčko-gas Brčko na period od 3.g.i kamatu od 3,10% u skladu s Pravilnikom o ulaganju  sredstava društava za osiguranje u svrhu pokrića srdstava za tehničke rezerve.</w:t>
      </w:r>
      <w:r w:rsidR="00AA32EB">
        <w:rPr>
          <w:rFonts w:asciiTheme="majorHAnsi" w:hAnsiTheme="majorHAnsi"/>
          <w:bCs/>
          <w:sz w:val="22"/>
          <w:szCs w:val="22"/>
        </w:rPr>
        <w:t>Ostvarena kamata je ob</w:t>
      </w:r>
      <w:r w:rsidR="0031371F">
        <w:rPr>
          <w:rFonts w:asciiTheme="majorHAnsi" w:hAnsiTheme="majorHAnsi"/>
          <w:bCs/>
          <w:sz w:val="22"/>
          <w:szCs w:val="22"/>
        </w:rPr>
        <w:t>računata u iznosu od 1.291,73KM,obzirom da je zajam odobren 15.12.2015.g.</w:t>
      </w:r>
    </w:p>
    <w:p w:rsidR="006A0CAB" w:rsidRDefault="006A0CAB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9435" w:type="dxa"/>
        <w:tblInd w:w="93" w:type="dxa"/>
        <w:tblLook w:val="04A0"/>
      </w:tblPr>
      <w:tblGrid>
        <w:gridCol w:w="2256"/>
        <w:gridCol w:w="1274"/>
        <w:gridCol w:w="481"/>
        <w:gridCol w:w="1254"/>
        <w:gridCol w:w="1379"/>
        <w:gridCol w:w="1690"/>
        <w:gridCol w:w="1101"/>
      </w:tblGrid>
      <w:tr w:rsidR="006A0CAB" w:rsidRPr="006A0CAB" w:rsidTr="006A0CAB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6A0CAB"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NOTA 4(AOP 22)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6A0CAB" w:rsidRPr="006A0CAB" w:rsidTr="006A0CAB">
        <w:trPr>
          <w:trHeight w:val="300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  <w:r w:rsidRPr="006A0C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Dugoročni plasmani u inostranstvu</w:t>
            </w:r>
          </w:p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AB" w:rsidRPr="006A0CAB" w:rsidRDefault="006A0CAB" w:rsidP="006A0CAB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6A0CAB" w:rsidRDefault="0051798E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F63021">
        <w:rPr>
          <w:rFonts w:asciiTheme="majorHAnsi" w:hAnsiTheme="majorHAnsi"/>
          <w:bCs/>
          <w:sz w:val="22"/>
          <w:szCs w:val="22"/>
        </w:rPr>
        <w:t xml:space="preserve">  </w:t>
      </w:r>
      <w:r w:rsidR="00B07DA3">
        <w:rPr>
          <w:rFonts w:asciiTheme="majorHAnsi" w:hAnsiTheme="majorHAnsi"/>
          <w:bCs/>
          <w:sz w:val="22"/>
          <w:szCs w:val="22"/>
        </w:rPr>
        <w:t xml:space="preserve">    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6A0CAB">
        <w:rPr>
          <w:rFonts w:asciiTheme="majorHAnsi" w:hAnsiTheme="majorHAnsi"/>
          <w:bCs/>
          <w:sz w:val="22"/>
          <w:szCs w:val="22"/>
        </w:rPr>
        <w:t>Dugoročni finansijski plasmani u inostranstvu prestavljaju ulaganja u Coris international Paris iznos od 5.867,49KM i ulaganja u Coris international Ljubljana u iznosu od 3.911,66KM,kao depozit za obavljanje putničkog zdravstvenog osiguranja.</w:t>
      </w:r>
    </w:p>
    <w:p w:rsidR="00203546" w:rsidRDefault="00203546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203546" w:rsidRDefault="00203546" w:rsidP="007A2F82">
      <w:pPr>
        <w:jc w:val="both"/>
        <w:rPr>
          <w:rFonts w:asciiTheme="majorHAnsi" w:hAnsiTheme="majorHAnsi"/>
          <w:bCs/>
          <w:sz w:val="22"/>
          <w:szCs w:val="22"/>
        </w:rPr>
      </w:pPr>
      <w:r w:rsidRPr="00203546">
        <w:rPr>
          <w:rFonts w:asciiTheme="majorHAnsi" w:hAnsiTheme="majorHAnsi"/>
          <w:b/>
          <w:bCs/>
          <w:sz w:val="22"/>
          <w:szCs w:val="22"/>
          <w:u w:val="single"/>
        </w:rPr>
        <w:t>NOTA 5(AOP025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203546" w:rsidRDefault="00203546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203546">
        <w:rPr>
          <w:rFonts w:asciiTheme="majorHAnsi" w:hAnsiTheme="majorHAnsi"/>
          <w:b/>
          <w:bCs/>
          <w:sz w:val="22"/>
          <w:szCs w:val="22"/>
        </w:rPr>
        <w:t>Ostali dugoročni finansijski plasmani</w:t>
      </w:r>
    </w:p>
    <w:p w:rsidR="00203546" w:rsidRDefault="00203546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03546" w:rsidRDefault="00F63021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51798E">
        <w:rPr>
          <w:rFonts w:asciiTheme="majorHAnsi" w:hAnsiTheme="majorHAnsi"/>
          <w:bCs/>
          <w:sz w:val="22"/>
          <w:szCs w:val="22"/>
        </w:rPr>
        <w:t xml:space="preserve">   </w:t>
      </w:r>
      <w:r w:rsidR="00B07DA3">
        <w:rPr>
          <w:rFonts w:asciiTheme="majorHAnsi" w:hAnsiTheme="majorHAnsi"/>
          <w:bCs/>
          <w:sz w:val="22"/>
          <w:szCs w:val="22"/>
        </w:rPr>
        <w:t xml:space="preserve">     </w:t>
      </w:r>
      <w:r w:rsidR="00203546" w:rsidRPr="00203546">
        <w:rPr>
          <w:rFonts w:asciiTheme="majorHAnsi" w:hAnsiTheme="majorHAnsi"/>
          <w:bCs/>
          <w:sz w:val="22"/>
          <w:szCs w:val="22"/>
        </w:rPr>
        <w:t xml:space="preserve">Ostali dugoročni finansijski plasmani </w:t>
      </w:r>
      <w:r w:rsidR="00203546">
        <w:rPr>
          <w:rFonts w:asciiTheme="majorHAnsi" w:hAnsiTheme="majorHAnsi"/>
          <w:bCs/>
          <w:sz w:val="22"/>
          <w:szCs w:val="22"/>
        </w:rPr>
        <w:t xml:space="preserve">prestavljaju uložena sredstva u </w:t>
      </w:r>
      <w:r w:rsidR="005071D9">
        <w:rPr>
          <w:rFonts w:asciiTheme="majorHAnsi" w:hAnsiTheme="majorHAnsi"/>
          <w:bCs/>
          <w:sz w:val="22"/>
          <w:szCs w:val="22"/>
        </w:rPr>
        <w:t xml:space="preserve">Garantni </w:t>
      </w:r>
      <w:r w:rsidR="00203546">
        <w:rPr>
          <w:rFonts w:asciiTheme="majorHAnsi" w:hAnsiTheme="majorHAnsi"/>
          <w:bCs/>
          <w:sz w:val="22"/>
          <w:szCs w:val="22"/>
        </w:rPr>
        <w:t xml:space="preserve"> fond Biroa ZK</w:t>
      </w:r>
      <w:r w:rsidR="00C15985">
        <w:rPr>
          <w:rFonts w:asciiTheme="majorHAnsi" w:hAnsiTheme="majorHAnsi"/>
          <w:bCs/>
          <w:sz w:val="22"/>
          <w:szCs w:val="22"/>
        </w:rPr>
        <w:t xml:space="preserve"> u iznosu od 355.605,48KM.</w:t>
      </w:r>
      <w:r w:rsidR="005D2B85">
        <w:rPr>
          <w:rFonts w:asciiTheme="majorHAnsi" w:hAnsiTheme="majorHAnsi"/>
          <w:bCs/>
          <w:sz w:val="22"/>
          <w:szCs w:val="22"/>
        </w:rPr>
        <w:t xml:space="preserve">Nad </w:t>
      </w:r>
      <w:r w:rsidR="00C15985">
        <w:rPr>
          <w:rFonts w:asciiTheme="majorHAnsi" w:hAnsiTheme="majorHAnsi"/>
          <w:bCs/>
          <w:sz w:val="22"/>
          <w:szCs w:val="22"/>
        </w:rPr>
        <w:t xml:space="preserve">navedenim novčanim sredstvima zasnovano je založno pravo </w:t>
      </w:r>
      <w:r w:rsidR="005D2B85">
        <w:rPr>
          <w:rFonts w:asciiTheme="majorHAnsi" w:hAnsiTheme="majorHAnsi"/>
          <w:bCs/>
          <w:sz w:val="22"/>
          <w:szCs w:val="22"/>
        </w:rPr>
        <w:t>ugovorom od 05.01.2015.g. između Biroa ZK i Društva.Navedena sredstva predstavljaju odbitnu stavku kod utvrđivanja adekvatnosti kapital</w:t>
      </w:r>
      <w:r w:rsidR="0041224F">
        <w:rPr>
          <w:rFonts w:asciiTheme="majorHAnsi" w:hAnsiTheme="majorHAnsi"/>
          <w:bCs/>
          <w:sz w:val="22"/>
          <w:szCs w:val="22"/>
        </w:rPr>
        <w:t>a</w:t>
      </w:r>
      <w:r w:rsidR="005D2B85">
        <w:rPr>
          <w:rFonts w:asciiTheme="majorHAnsi" w:hAnsiTheme="majorHAnsi"/>
          <w:bCs/>
          <w:sz w:val="22"/>
          <w:szCs w:val="22"/>
        </w:rPr>
        <w:t>.</w:t>
      </w:r>
    </w:p>
    <w:p w:rsidR="00045008" w:rsidRDefault="00045008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045008" w:rsidRDefault="0051798E" w:rsidP="007A2F82">
      <w:pPr>
        <w:jc w:val="both"/>
        <w:rPr>
          <w:rFonts w:asciiTheme="majorHAnsi" w:hAnsiTheme="majorHAnsi"/>
          <w:bCs/>
          <w:sz w:val="22"/>
          <w:szCs w:val="22"/>
        </w:rPr>
      </w:pPr>
      <w:r w:rsidRPr="0051798E">
        <w:rPr>
          <w:rFonts w:asciiTheme="majorHAnsi" w:hAnsiTheme="majorHAnsi"/>
          <w:b/>
          <w:bCs/>
          <w:sz w:val="22"/>
          <w:szCs w:val="22"/>
          <w:u w:val="single"/>
        </w:rPr>
        <w:t>NOTA</w:t>
      </w:r>
      <w:r w:rsidR="00045008" w:rsidRPr="0051798E">
        <w:rPr>
          <w:rFonts w:asciiTheme="majorHAnsi" w:hAnsiTheme="majorHAnsi"/>
          <w:b/>
          <w:bCs/>
          <w:sz w:val="22"/>
          <w:szCs w:val="22"/>
          <w:u w:val="single"/>
        </w:rPr>
        <w:t xml:space="preserve"> 6(AOP </w:t>
      </w:r>
      <w:r w:rsidRPr="0051798E">
        <w:rPr>
          <w:rFonts w:asciiTheme="majorHAnsi" w:hAnsiTheme="majorHAnsi"/>
          <w:b/>
          <w:bCs/>
          <w:sz w:val="22"/>
          <w:szCs w:val="22"/>
          <w:u w:val="single"/>
        </w:rPr>
        <w:t>026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51798E" w:rsidRDefault="0051798E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51798E">
        <w:rPr>
          <w:rFonts w:asciiTheme="majorHAnsi" w:hAnsiTheme="majorHAnsi"/>
          <w:b/>
          <w:bCs/>
          <w:sz w:val="22"/>
          <w:szCs w:val="22"/>
        </w:rPr>
        <w:t>Odložena poreska sredstva</w:t>
      </w:r>
    </w:p>
    <w:p w:rsidR="0051798E" w:rsidRDefault="0051798E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1798E" w:rsidRDefault="0051798E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</w:t>
      </w:r>
      <w:r w:rsidR="00B07DA3">
        <w:rPr>
          <w:rFonts w:asciiTheme="majorHAnsi" w:hAnsiTheme="majorHAnsi"/>
          <w:bCs/>
          <w:sz w:val="22"/>
          <w:szCs w:val="22"/>
        </w:rPr>
        <w:t xml:space="preserve">   </w:t>
      </w:r>
      <w:r w:rsidR="00F63021">
        <w:rPr>
          <w:rFonts w:asciiTheme="majorHAnsi" w:hAnsiTheme="majorHAnsi"/>
          <w:bCs/>
          <w:sz w:val="22"/>
          <w:szCs w:val="22"/>
        </w:rPr>
        <w:t xml:space="preserve"> </w:t>
      </w:r>
      <w:r w:rsidRPr="0051798E">
        <w:rPr>
          <w:rFonts w:asciiTheme="majorHAnsi" w:hAnsiTheme="majorHAnsi"/>
          <w:bCs/>
          <w:sz w:val="22"/>
          <w:szCs w:val="22"/>
        </w:rPr>
        <w:t xml:space="preserve">Odložena </w:t>
      </w:r>
      <w:r>
        <w:rPr>
          <w:rFonts w:asciiTheme="majorHAnsi" w:hAnsiTheme="majorHAnsi"/>
          <w:bCs/>
          <w:sz w:val="22"/>
          <w:szCs w:val="22"/>
        </w:rPr>
        <w:t xml:space="preserve">poreska sredstva su formirana kao privremena razlika po osnovu formiranih kursnih razlika na  dolarskom depozitu a koja će se po dospjeću istog, prenijeti u prihode perida. </w:t>
      </w:r>
    </w:p>
    <w:p w:rsidR="00375969" w:rsidRDefault="0051798E" w:rsidP="00053CE0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Kumulirana kursna razlika 361.242,91*10/100=36.124,29</w:t>
      </w:r>
      <w:r w:rsidR="00053CE0">
        <w:rPr>
          <w:rFonts w:asciiTheme="majorHAnsi" w:hAnsiTheme="majorHAnsi"/>
          <w:bCs/>
          <w:sz w:val="22"/>
          <w:szCs w:val="22"/>
        </w:rPr>
        <w:t>KM.</w:t>
      </w:r>
    </w:p>
    <w:p w:rsidR="00375969" w:rsidRDefault="00375969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0A6328" w:rsidRDefault="000A6328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375969" w:rsidRDefault="00375969" w:rsidP="007A2F8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5969">
        <w:rPr>
          <w:rFonts w:asciiTheme="majorHAnsi" w:hAnsiTheme="majorHAnsi"/>
          <w:b/>
          <w:bCs/>
          <w:sz w:val="22"/>
          <w:szCs w:val="22"/>
          <w:u w:val="single"/>
        </w:rPr>
        <w:t>NOTA7(AOP 028)</w:t>
      </w:r>
    </w:p>
    <w:p w:rsidR="000D28AC" w:rsidRDefault="000D28AC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D28AC">
        <w:rPr>
          <w:rFonts w:asciiTheme="majorHAnsi" w:hAnsiTheme="majorHAnsi"/>
          <w:b/>
          <w:bCs/>
          <w:sz w:val="22"/>
          <w:szCs w:val="22"/>
        </w:rPr>
        <w:t>Zalihe</w:t>
      </w:r>
    </w:p>
    <w:p w:rsidR="0041224F" w:rsidRPr="00DD45DB" w:rsidRDefault="0041224F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D28AC" w:rsidRPr="000D28AC" w:rsidRDefault="000D28AC" w:rsidP="007A2F82">
      <w:pPr>
        <w:jc w:val="both"/>
        <w:rPr>
          <w:rFonts w:asciiTheme="majorHAnsi" w:hAnsiTheme="majorHAnsi"/>
          <w:bCs/>
          <w:sz w:val="22"/>
          <w:szCs w:val="22"/>
        </w:rPr>
      </w:pPr>
      <w:r w:rsidRPr="000D28AC">
        <w:rPr>
          <w:rFonts w:asciiTheme="majorHAnsi" w:hAnsiTheme="majorHAnsi"/>
          <w:bCs/>
          <w:sz w:val="22"/>
          <w:szCs w:val="22"/>
        </w:rPr>
        <w:t>Na zalihama</w:t>
      </w:r>
      <w:r w:rsidR="0041224F">
        <w:rPr>
          <w:rFonts w:asciiTheme="majorHAnsi" w:hAnsiTheme="majorHAnsi"/>
          <w:bCs/>
          <w:sz w:val="22"/>
          <w:szCs w:val="22"/>
        </w:rPr>
        <w:t>,</w:t>
      </w:r>
      <w:r w:rsidRPr="000D28AC">
        <w:rPr>
          <w:rFonts w:asciiTheme="majorHAnsi" w:hAnsiTheme="majorHAnsi"/>
          <w:bCs/>
          <w:sz w:val="22"/>
          <w:szCs w:val="22"/>
        </w:rPr>
        <w:t xml:space="preserve"> Društvo vodi </w:t>
      </w:r>
      <w:r>
        <w:rPr>
          <w:rFonts w:asciiTheme="majorHAnsi" w:hAnsiTheme="majorHAnsi"/>
          <w:bCs/>
          <w:sz w:val="22"/>
          <w:szCs w:val="22"/>
        </w:rPr>
        <w:t>obrasce stroge evidencije i date avanse.</w:t>
      </w:r>
    </w:p>
    <w:tbl>
      <w:tblPr>
        <w:tblW w:w="9120" w:type="dxa"/>
        <w:tblInd w:w="93" w:type="dxa"/>
        <w:tblLook w:val="04A0"/>
      </w:tblPr>
      <w:tblGrid>
        <w:gridCol w:w="1936"/>
        <w:gridCol w:w="261"/>
        <w:gridCol w:w="960"/>
        <w:gridCol w:w="1920"/>
        <w:gridCol w:w="1960"/>
        <w:gridCol w:w="2200"/>
      </w:tblGrid>
      <w:tr w:rsidR="000D28AC" w:rsidRPr="000D28AC" w:rsidTr="000D28AC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Ispravka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0D28AC" w:rsidRPr="000D28AC" w:rsidTr="000D28AC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  <w:r w:rsidR="00AE6AC2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10.115,03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0</w:t>
            </w:r>
            <w:r w:rsidR="000D28AC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10.115,03</w:t>
            </w:r>
            <w:r w:rsidR="000D28AC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D28AC" w:rsidRPr="000D28AC" w:rsidTr="000D28AC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  <w:r w:rsidR="00AE6AC2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620,86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0D28AC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sz w:val="20"/>
                <w:szCs w:val="20"/>
              </w:rPr>
              <w:t>463,67</w:t>
            </w:r>
            <w:r w:rsidR="000D28AC" w:rsidRPr="006A4F12">
              <w:rPr>
                <w:rFonts w:ascii="Cambria" w:hAnsi="Cambria"/>
                <w:i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157,19</w:t>
            </w:r>
            <w:r w:rsidR="000D28AC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D28AC" w:rsidRPr="000D28AC" w:rsidTr="000D28AC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0D28AC" w:rsidP="000D28AC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AE6AC2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       10.735,89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0D28AC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463,67</w:t>
            </w:r>
            <w:r w:rsidR="000D28AC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8AC" w:rsidRPr="006A4F12" w:rsidRDefault="00AE6AC2" w:rsidP="00AE6AC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10.272</w:t>
            </w:r>
            <w:r w:rsidR="000D28AC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 </w:t>
            </w: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,22</w:t>
            </w:r>
          </w:p>
        </w:tc>
      </w:tr>
    </w:tbl>
    <w:p w:rsidR="000D28AC" w:rsidRDefault="000D28AC" w:rsidP="007A2F8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E6AC2" w:rsidRDefault="00351B82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F63021">
        <w:rPr>
          <w:rFonts w:asciiTheme="majorHAnsi" w:hAnsiTheme="majorHAnsi"/>
          <w:bCs/>
          <w:sz w:val="22"/>
          <w:szCs w:val="22"/>
        </w:rPr>
        <w:t xml:space="preserve"> </w:t>
      </w:r>
      <w:r w:rsidR="00B07DA3">
        <w:rPr>
          <w:rFonts w:asciiTheme="majorHAnsi" w:hAnsiTheme="majorHAnsi"/>
          <w:bCs/>
          <w:sz w:val="22"/>
          <w:szCs w:val="22"/>
        </w:rPr>
        <w:t xml:space="preserve">  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AE6AC2" w:rsidRPr="00AE6AC2">
        <w:rPr>
          <w:rFonts w:asciiTheme="majorHAnsi" w:hAnsiTheme="majorHAnsi"/>
          <w:bCs/>
          <w:sz w:val="22"/>
          <w:szCs w:val="22"/>
        </w:rPr>
        <w:t>Na osnovu popisa</w:t>
      </w:r>
      <w:r w:rsidR="00C332F2">
        <w:rPr>
          <w:rFonts w:asciiTheme="majorHAnsi" w:hAnsiTheme="majorHAnsi"/>
          <w:bCs/>
          <w:sz w:val="22"/>
          <w:szCs w:val="22"/>
        </w:rPr>
        <w:t xml:space="preserve"> zaliha</w:t>
      </w:r>
      <w:r w:rsidR="00001812">
        <w:rPr>
          <w:rFonts w:asciiTheme="majorHAnsi" w:hAnsiTheme="majorHAnsi"/>
          <w:bCs/>
          <w:sz w:val="22"/>
          <w:szCs w:val="22"/>
        </w:rPr>
        <w:t xml:space="preserve"> stroge evidencije,</w:t>
      </w:r>
      <w:r w:rsidR="00AE6AC2" w:rsidRPr="00AE6AC2">
        <w:rPr>
          <w:rFonts w:asciiTheme="majorHAnsi" w:hAnsiTheme="majorHAnsi"/>
          <w:bCs/>
          <w:sz w:val="22"/>
          <w:szCs w:val="22"/>
        </w:rPr>
        <w:t xml:space="preserve"> </w:t>
      </w:r>
      <w:r w:rsidR="00001812">
        <w:rPr>
          <w:rFonts w:asciiTheme="majorHAnsi" w:hAnsiTheme="majorHAnsi"/>
          <w:bCs/>
          <w:sz w:val="22"/>
          <w:szCs w:val="22"/>
        </w:rPr>
        <w:t xml:space="preserve">polisa i zelenih kartona </w:t>
      </w:r>
      <w:r w:rsidR="00AE6AC2">
        <w:rPr>
          <w:rFonts w:asciiTheme="majorHAnsi" w:hAnsiTheme="majorHAnsi"/>
          <w:bCs/>
          <w:sz w:val="22"/>
          <w:szCs w:val="22"/>
        </w:rPr>
        <w:t xml:space="preserve">sa </w:t>
      </w:r>
      <w:r w:rsidR="00AE6AC2" w:rsidRPr="00AE6AC2">
        <w:rPr>
          <w:rFonts w:asciiTheme="majorHAnsi" w:hAnsiTheme="majorHAnsi"/>
          <w:bCs/>
          <w:sz w:val="22"/>
          <w:szCs w:val="22"/>
        </w:rPr>
        <w:t>31.12.2015.g.</w:t>
      </w:r>
      <w:r w:rsidR="00AE6AC2">
        <w:rPr>
          <w:rFonts w:asciiTheme="majorHAnsi" w:hAnsiTheme="majorHAnsi"/>
          <w:bCs/>
          <w:sz w:val="22"/>
          <w:szCs w:val="22"/>
        </w:rPr>
        <w:t xml:space="preserve">utvrđeno je koliko ostaje </w:t>
      </w:r>
      <w:r w:rsidR="0041224F">
        <w:rPr>
          <w:rFonts w:asciiTheme="majorHAnsi" w:hAnsiTheme="majorHAnsi"/>
          <w:bCs/>
          <w:sz w:val="22"/>
          <w:szCs w:val="22"/>
        </w:rPr>
        <w:t>na</w:t>
      </w:r>
      <w:r w:rsidR="00AE6AC2">
        <w:rPr>
          <w:rFonts w:asciiTheme="majorHAnsi" w:hAnsiTheme="majorHAnsi"/>
          <w:bCs/>
          <w:sz w:val="22"/>
          <w:szCs w:val="22"/>
        </w:rPr>
        <w:t xml:space="preserve"> zalihi a koliko </w:t>
      </w:r>
      <w:r w:rsidR="00001812">
        <w:rPr>
          <w:rFonts w:asciiTheme="majorHAnsi" w:hAnsiTheme="majorHAnsi"/>
          <w:bCs/>
          <w:sz w:val="22"/>
          <w:szCs w:val="22"/>
        </w:rPr>
        <w:t>terete troškove obračunskog perioda.</w:t>
      </w:r>
    </w:p>
    <w:p w:rsidR="00351B82" w:rsidRDefault="00B07DA3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Na</w:t>
      </w:r>
      <w:r w:rsidR="00AE6AC2">
        <w:rPr>
          <w:rFonts w:asciiTheme="majorHAnsi" w:hAnsiTheme="majorHAnsi"/>
          <w:bCs/>
          <w:sz w:val="22"/>
          <w:szCs w:val="22"/>
        </w:rPr>
        <w:t xml:space="preserve"> datim avansima su evidentirana neznatna plaćanja za buduće troškove kao što su</w:t>
      </w:r>
      <w:r w:rsidR="00C7157E">
        <w:rPr>
          <w:rFonts w:asciiTheme="majorHAnsi" w:hAnsiTheme="majorHAnsi"/>
          <w:bCs/>
          <w:sz w:val="22"/>
          <w:szCs w:val="22"/>
        </w:rPr>
        <w:t>:Pošta Doboj3,90 KM,Pošta Prijedor 39,49 i pogrešno usmjerena sredstva u iznosu 577,47 KM a koja su do predaje  završnog računa vraćena  i utužena.</w:t>
      </w:r>
    </w:p>
    <w:p w:rsidR="00351B82" w:rsidRDefault="001D71DB" w:rsidP="00C25671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351B82">
        <w:rPr>
          <w:rFonts w:asciiTheme="majorHAnsi" w:hAnsiTheme="majorHAnsi"/>
          <w:bCs/>
          <w:sz w:val="22"/>
          <w:szCs w:val="22"/>
        </w:rPr>
        <w:t>Izvršena je ispravka potraživanja za date avanse u iznosu od 463,67KM,prema Pravilniku o procjenjivanju bilansnih i van bilansnih pozicija.</w:t>
      </w:r>
    </w:p>
    <w:p w:rsidR="00351B82" w:rsidRDefault="00351B82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0A6328" w:rsidRDefault="000A6328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p w:rsidR="00D51581" w:rsidRDefault="00D51581" w:rsidP="007A2F82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 </w:t>
      </w:r>
      <w:r w:rsidRPr="00D51581">
        <w:rPr>
          <w:rFonts w:asciiTheme="majorHAnsi" w:hAnsiTheme="majorHAnsi"/>
          <w:b/>
          <w:bCs/>
          <w:sz w:val="22"/>
          <w:szCs w:val="22"/>
          <w:u w:val="single"/>
        </w:rPr>
        <w:t>NOTA 8(AOP 03</w:t>
      </w:r>
      <w:r w:rsidR="0089495C">
        <w:rPr>
          <w:rFonts w:asciiTheme="majorHAnsi" w:hAnsiTheme="majorHAnsi"/>
          <w:b/>
          <w:bCs/>
          <w:sz w:val="22"/>
          <w:szCs w:val="22"/>
          <w:u w:val="single"/>
        </w:rPr>
        <w:t>6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D51581" w:rsidRDefault="00D51581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51581">
        <w:rPr>
          <w:rFonts w:asciiTheme="majorHAnsi" w:hAnsiTheme="majorHAnsi"/>
          <w:b/>
          <w:bCs/>
          <w:sz w:val="22"/>
          <w:szCs w:val="22"/>
        </w:rPr>
        <w:t>Potraživanja po osnovu premije neživotnih osiguranja</w:t>
      </w:r>
    </w:p>
    <w:p w:rsidR="00D51581" w:rsidRDefault="00D51581" w:rsidP="007A2F8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51581" w:rsidRPr="00D51581" w:rsidRDefault="001A0BFD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D51581">
        <w:rPr>
          <w:rFonts w:asciiTheme="majorHAnsi" w:hAnsiTheme="majorHAnsi"/>
          <w:bCs/>
          <w:sz w:val="22"/>
          <w:szCs w:val="22"/>
        </w:rPr>
        <w:t xml:space="preserve">Potraživanja po osnovu premije neživotnih osiguranja predstavljaju potraživanja po osnovu nezgode,putničkog zdravsvenog osiguranja,kaska,imovine i </w:t>
      </w:r>
      <w:r w:rsidR="00B702BF">
        <w:rPr>
          <w:rFonts w:asciiTheme="majorHAnsi" w:hAnsiTheme="majorHAnsi"/>
          <w:bCs/>
          <w:sz w:val="22"/>
          <w:szCs w:val="22"/>
        </w:rPr>
        <w:t xml:space="preserve">tu su svrstana potraživanja </w:t>
      </w:r>
      <w:r w:rsidR="00D51581">
        <w:rPr>
          <w:rFonts w:asciiTheme="majorHAnsi" w:hAnsiTheme="majorHAnsi"/>
          <w:bCs/>
          <w:sz w:val="22"/>
          <w:szCs w:val="22"/>
        </w:rPr>
        <w:t>po osnovu ZK.</w:t>
      </w:r>
    </w:p>
    <w:p w:rsidR="00D51581" w:rsidRDefault="00D51581" w:rsidP="007A2F82">
      <w:pPr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9121" w:type="dxa"/>
        <w:tblInd w:w="93" w:type="dxa"/>
        <w:tblLook w:val="04A0"/>
      </w:tblPr>
      <w:tblGrid>
        <w:gridCol w:w="2776"/>
        <w:gridCol w:w="275"/>
        <w:gridCol w:w="275"/>
        <w:gridCol w:w="275"/>
        <w:gridCol w:w="2040"/>
        <w:gridCol w:w="222"/>
        <w:gridCol w:w="1120"/>
        <w:gridCol w:w="2200"/>
      </w:tblGrid>
      <w:tr w:rsidR="00D51581" w:rsidRPr="006A4F12" w:rsidTr="00D51581">
        <w:trPr>
          <w:trHeight w:val="300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Ispra. pot.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Stanje</w:t>
            </w:r>
          </w:p>
        </w:tc>
      </w:tr>
      <w:tr w:rsidR="00D51581" w:rsidRPr="006A4F12" w:rsidTr="00D51581">
        <w:trPr>
          <w:trHeight w:val="315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Potraživanja po osnovu ao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12.221,93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12.221,93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1581" w:rsidRPr="006A4F12" w:rsidTr="00D51581">
        <w:trPr>
          <w:trHeight w:val="3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osno. javnog prevoza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1581" w:rsidRPr="006A4F12" w:rsidTr="00D51581">
        <w:trPr>
          <w:trHeight w:val="3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osno. kolekti. nezgode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6.093,65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1.236,30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4.857,35</w:t>
            </w:r>
          </w:p>
        </w:tc>
      </w:tr>
      <w:tr w:rsidR="00D51581" w:rsidRPr="006A4F12" w:rsidTr="00D51581">
        <w:trPr>
          <w:trHeight w:val="3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Potraživanje po osnovu kaska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106.059,86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797EB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26.550,28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79.509,58</w:t>
            </w:r>
          </w:p>
        </w:tc>
      </w:tr>
      <w:tr w:rsidR="00D51581" w:rsidRPr="006A4F12" w:rsidTr="00D51581">
        <w:trPr>
          <w:trHeight w:val="30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Potraživanje po osnovu imovine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74.443,31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27.046,12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47.397,19</w:t>
            </w:r>
          </w:p>
        </w:tc>
      </w:tr>
      <w:tr w:rsidR="00D51581" w:rsidRPr="006A4F12" w:rsidTr="00D51581">
        <w:trPr>
          <w:trHeight w:val="315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Potraživanja po osnovu PZO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1581" w:rsidRPr="006A4F12" w:rsidTr="00D51581">
        <w:trPr>
          <w:trHeight w:val="315"/>
        </w:trPr>
        <w:tc>
          <w:tcPr>
            <w:tcW w:w="3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zelene karte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797EB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1581" w:rsidRPr="006A4F12" w:rsidTr="00D51581">
        <w:trPr>
          <w:trHeight w:val="31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797EB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199.114,50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D51581" w:rsidP="00D5158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67.350,38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81" w:rsidRPr="006A4F12" w:rsidRDefault="00797EB1" w:rsidP="00D51581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131.764,12</w:t>
            </w:r>
          </w:p>
        </w:tc>
      </w:tr>
    </w:tbl>
    <w:p w:rsidR="00D51581" w:rsidRPr="006A4F12" w:rsidRDefault="00D51581">
      <w:pPr>
        <w:jc w:val="both"/>
        <w:rPr>
          <w:rFonts w:asciiTheme="majorHAnsi" w:hAnsiTheme="majorHAnsi"/>
          <w:bCs/>
          <w:sz w:val="20"/>
          <w:szCs w:val="20"/>
        </w:rPr>
      </w:pPr>
    </w:p>
    <w:p w:rsidR="00B75035" w:rsidRDefault="00995846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</w:t>
      </w:r>
      <w:r w:rsidR="00F63021">
        <w:rPr>
          <w:rFonts w:asciiTheme="majorHAnsi" w:hAnsiTheme="majorHAnsi"/>
          <w:bCs/>
          <w:sz w:val="22"/>
          <w:szCs w:val="22"/>
        </w:rPr>
        <w:t xml:space="preserve"> </w:t>
      </w:r>
      <w:r w:rsidR="007435BD">
        <w:rPr>
          <w:rFonts w:asciiTheme="majorHAnsi" w:hAnsiTheme="majorHAnsi"/>
          <w:bCs/>
          <w:sz w:val="22"/>
          <w:szCs w:val="22"/>
        </w:rPr>
        <w:t xml:space="preserve">     </w:t>
      </w:r>
      <w:r w:rsidR="00F7043D">
        <w:rPr>
          <w:rFonts w:asciiTheme="majorHAnsi" w:hAnsiTheme="majorHAnsi"/>
          <w:bCs/>
          <w:sz w:val="22"/>
          <w:szCs w:val="22"/>
        </w:rPr>
        <w:t>Potraživanja po osnovu premije neživotnih osiguranja su procjen</w:t>
      </w:r>
      <w:r>
        <w:rPr>
          <w:rFonts w:asciiTheme="majorHAnsi" w:hAnsiTheme="majorHAnsi"/>
          <w:bCs/>
          <w:sz w:val="22"/>
          <w:szCs w:val="22"/>
        </w:rPr>
        <w:t>j</w:t>
      </w:r>
      <w:r w:rsidR="00F7043D">
        <w:rPr>
          <w:rFonts w:asciiTheme="majorHAnsi" w:hAnsiTheme="majorHAnsi"/>
          <w:bCs/>
          <w:sz w:val="22"/>
          <w:szCs w:val="22"/>
        </w:rPr>
        <w:t xml:space="preserve">ivana u skladu sa </w:t>
      </w:r>
      <w:r w:rsidR="0095084C">
        <w:rPr>
          <w:rFonts w:asciiTheme="majorHAnsi" w:hAnsiTheme="majorHAnsi"/>
          <w:bCs/>
          <w:sz w:val="22"/>
          <w:szCs w:val="22"/>
        </w:rPr>
        <w:t>P</w:t>
      </w:r>
      <w:r w:rsidR="00F7043D">
        <w:rPr>
          <w:rFonts w:asciiTheme="majorHAnsi" w:hAnsiTheme="majorHAnsi"/>
          <w:bCs/>
          <w:sz w:val="22"/>
          <w:szCs w:val="22"/>
        </w:rPr>
        <w:t>ravilnikom o procjenjivanju bilansnih i vanbilansnih pozija u iznosu od 67.350,38 KM</w:t>
      </w:r>
      <w:r w:rsidR="0095084C">
        <w:rPr>
          <w:rFonts w:asciiTheme="majorHAnsi" w:hAnsiTheme="majorHAnsi"/>
          <w:bCs/>
          <w:sz w:val="22"/>
          <w:szCs w:val="22"/>
        </w:rPr>
        <w:t>.U odnosu na predhodnu godinu(45.965,35)došlo je do većeg iznosa ispravke potraživanja i knjženja na rashodima, zbog samog i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95084C">
        <w:rPr>
          <w:rFonts w:asciiTheme="majorHAnsi" w:hAnsiTheme="majorHAnsi"/>
          <w:bCs/>
          <w:sz w:val="22"/>
          <w:szCs w:val="22"/>
        </w:rPr>
        <w:t>većeg ostvarenja  premije u 2015.g.</w:t>
      </w:r>
    </w:p>
    <w:p w:rsidR="000A6328" w:rsidRDefault="000A632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97B08" w:rsidRDefault="007435BD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B75035">
        <w:rPr>
          <w:rFonts w:asciiTheme="majorHAnsi" w:hAnsiTheme="majorHAnsi"/>
          <w:bCs/>
          <w:sz w:val="22"/>
          <w:szCs w:val="22"/>
        </w:rPr>
        <w:t>Procenat naplaćene premije je 98,73% ,stavljajući u odnos ukupno naplaćenu kroz ukupno fakturisanu premiju.</w:t>
      </w:r>
      <w:r w:rsidR="00A97B08">
        <w:rPr>
          <w:rFonts w:asciiTheme="majorHAnsi" w:hAnsiTheme="majorHAnsi"/>
          <w:bCs/>
          <w:sz w:val="22"/>
          <w:szCs w:val="22"/>
        </w:rPr>
        <w:t xml:space="preserve"> Stalnim slanjem opomena i proziv</w:t>
      </w:r>
      <w:r w:rsidR="00BC73C1">
        <w:rPr>
          <w:rFonts w:asciiTheme="majorHAnsi" w:hAnsiTheme="majorHAnsi"/>
          <w:bCs/>
          <w:sz w:val="22"/>
          <w:szCs w:val="22"/>
        </w:rPr>
        <w:t>a</w:t>
      </w:r>
      <w:r w:rsidR="00A97B08">
        <w:rPr>
          <w:rFonts w:asciiTheme="majorHAnsi" w:hAnsiTheme="majorHAnsi"/>
          <w:bCs/>
          <w:sz w:val="22"/>
          <w:szCs w:val="22"/>
        </w:rPr>
        <w:t>njem dužnika,obavještavanjem menađžmenta o stanju naplate,možemo konstatovati da je procenat  naplate zadovoljav</w:t>
      </w:r>
      <w:r w:rsidR="00BC73C1">
        <w:rPr>
          <w:rFonts w:asciiTheme="majorHAnsi" w:hAnsiTheme="majorHAnsi"/>
          <w:bCs/>
          <w:sz w:val="22"/>
          <w:szCs w:val="22"/>
        </w:rPr>
        <w:t xml:space="preserve">ajući,obzirom da se potraživanja po osnovu kaska i imovine </w:t>
      </w:r>
      <w:r w:rsidR="00C332F2">
        <w:rPr>
          <w:rFonts w:asciiTheme="majorHAnsi" w:hAnsiTheme="majorHAnsi"/>
          <w:bCs/>
          <w:sz w:val="22"/>
          <w:szCs w:val="22"/>
        </w:rPr>
        <w:t>na</w:t>
      </w:r>
      <w:r w:rsidR="00BC73C1">
        <w:rPr>
          <w:rFonts w:asciiTheme="majorHAnsi" w:hAnsiTheme="majorHAnsi"/>
          <w:bCs/>
          <w:sz w:val="22"/>
          <w:szCs w:val="22"/>
        </w:rPr>
        <w:t>plaćaju odgođeno na rate.</w:t>
      </w:r>
    </w:p>
    <w:p w:rsidR="00A97B08" w:rsidRDefault="00A97B0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97B08" w:rsidRDefault="00DA3FB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A97B08">
        <w:rPr>
          <w:rFonts w:asciiTheme="majorHAnsi" w:hAnsiTheme="majorHAnsi"/>
          <w:bCs/>
          <w:sz w:val="22"/>
          <w:szCs w:val="22"/>
        </w:rPr>
        <w:t>O stanju potraživanja i ispravke potraživanja Društvo sastavlja obrazac POT i IVPOT  sa stanjem na dan 31.12.2015.g.</w:t>
      </w:r>
      <w:r w:rsidR="002D0BFE">
        <w:rPr>
          <w:rFonts w:asciiTheme="majorHAnsi" w:hAnsiTheme="majorHAnsi"/>
          <w:bCs/>
          <w:sz w:val="22"/>
          <w:szCs w:val="22"/>
        </w:rPr>
        <w:t>.</w:t>
      </w:r>
    </w:p>
    <w:p w:rsidR="00A97B08" w:rsidRDefault="00A97B0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771276" w:rsidRDefault="00DA3FB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771276">
        <w:rPr>
          <w:rFonts w:asciiTheme="majorHAnsi" w:hAnsiTheme="majorHAnsi"/>
          <w:bCs/>
          <w:sz w:val="22"/>
          <w:szCs w:val="22"/>
        </w:rPr>
        <w:t>Sa stanjem na dan 31.12.2015.g.je izvršen direktan otpis nenaplaćenih potraživanja koja su starija od godinu dana i za koje se nije mogla postići naplata u 2015.g.i to:potraživanja po osnovu autoodgovornosti u iznosu od 20,90KM,potraživanja po osnovu kolektivnog osiguranja radnika 101,50KM,</w:t>
      </w:r>
      <w:r w:rsidR="00BC73C1">
        <w:rPr>
          <w:rFonts w:asciiTheme="majorHAnsi" w:hAnsiTheme="majorHAnsi"/>
          <w:bCs/>
          <w:sz w:val="22"/>
          <w:szCs w:val="22"/>
        </w:rPr>
        <w:t>p</w:t>
      </w:r>
      <w:r w:rsidR="00771276">
        <w:rPr>
          <w:rFonts w:asciiTheme="majorHAnsi" w:hAnsiTheme="majorHAnsi"/>
          <w:bCs/>
          <w:sz w:val="22"/>
          <w:szCs w:val="22"/>
        </w:rPr>
        <w:t>otraživanja po osnovu kaska u iznosu od 4.301KM i potraživanja po osnovu imovine u iznosu od 1.980KM.</w:t>
      </w:r>
    </w:p>
    <w:p w:rsidR="000A6328" w:rsidRDefault="000A632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771276" w:rsidRDefault="001D71DB" w:rsidP="001D71DB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771276">
        <w:rPr>
          <w:rFonts w:asciiTheme="majorHAnsi" w:hAnsiTheme="majorHAnsi"/>
          <w:bCs/>
          <w:sz w:val="22"/>
          <w:szCs w:val="22"/>
        </w:rPr>
        <w:t>Za potraživanja po osnovu premije su vršena usaglašavnja sa komitentim prema vrsti premije preko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771276">
        <w:rPr>
          <w:rFonts w:asciiTheme="majorHAnsi" w:hAnsiTheme="majorHAnsi"/>
          <w:bCs/>
          <w:sz w:val="22"/>
          <w:szCs w:val="22"/>
        </w:rPr>
        <w:t xml:space="preserve">IOS-a </w:t>
      </w:r>
      <w:r w:rsidR="00072683">
        <w:rPr>
          <w:rFonts w:asciiTheme="majorHAnsi" w:hAnsiTheme="majorHAnsi"/>
          <w:bCs/>
          <w:sz w:val="22"/>
          <w:szCs w:val="22"/>
        </w:rPr>
        <w:t>na</w:t>
      </w:r>
      <w:r w:rsidR="00771276">
        <w:rPr>
          <w:rFonts w:asciiTheme="majorHAnsi" w:hAnsiTheme="majorHAnsi"/>
          <w:bCs/>
          <w:sz w:val="22"/>
          <w:szCs w:val="22"/>
        </w:rPr>
        <w:t xml:space="preserve"> dan 30.11.2015.g. </w:t>
      </w:r>
    </w:p>
    <w:p w:rsidR="00BC73C1" w:rsidRDefault="00BC73C1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Od ukupno poslatih IOS-a za premiju:kaska 57,ovjereno je 18,za premiju imovine 43,ovjereno je 18 i za</w:t>
      </w:r>
      <w:r w:rsidR="00A322C7">
        <w:rPr>
          <w:rFonts w:asciiTheme="majorHAnsi" w:hAnsiTheme="majorHAnsi"/>
          <w:bCs/>
          <w:sz w:val="22"/>
          <w:szCs w:val="22"/>
        </w:rPr>
        <w:t xml:space="preserve"> premiju nezgode poslato 27,ovjereno 17  IOS-a.</w:t>
      </w:r>
    </w:p>
    <w:p w:rsidR="00DD45DB" w:rsidRDefault="00BC73C1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                                            </w:t>
      </w:r>
    </w:p>
    <w:p w:rsidR="002D0BFE" w:rsidRDefault="002D0BFE">
      <w:pPr>
        <w:jc w:val="both"/>
        <w:rPr>
          <w:rFonts w:asciiTheme="majorHAnsi" w:hAnsiTheme="majorHAnsi"/>
          <w:bCs/>
          <w:sz w:val="22"/>
          <w:szCs w:val="22"/>
        </w:rPr>
      </w:pPr>
    </w:p>
    <w:p w:rsidR="00DD45DB" w:rsidRDefault="00DD45DB">
      <w:pPr>
        <w:jc w:val="both"/>
        <w:rPr>
          <w:rFonts w:asciiTheme="majorHAnsi" w:hAnsiTheme="majorHAnsi"/>
          <w:bCs/>
          <w:sz w:val="22"/>
          <w:szCs w:val="22"/>
        </w:rPr>
      </w:pPr>
      <w:r w:rsidRPr="00DD45DB">
        <w:rPr>
          <w:rFonts w:asciiTheme="majorHAnsi" w:hAnsiTheme="majorHAnsi"/>
          <w:b/>
          <w:bCs/>
          <w:sz w:val="22"/>
          <w:szCs w:val="22"/>
          <w:u w:val="single"/>
        </w:rPr>
        <w:t>NOTA 9(AOP037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DD45DB" w:rsidRDefault="00DD45DB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D45DB">
        <w:rPr>
          <w:rFonts w:asciiTheme="majorHAnsi" w:hAnsiTheme="majorHAnsi"/>
          <w:b/>
          <w:bCs/>
          <w:sz w:val="22"/>
          <w:szCs w:val="22"/>
        </w:rPr>
        <w:t>Potraživanje po osnovu premije reosiguranja u zemlji</w:t>
      </w:r>
    </w:p>
    <w:p w:rsidR="00DD45DB" w:rsidRDefault="00DD45D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229" w:type="dxa"/>
        <w:tblInd w:w="93" w:type="dxa"/>
        <w:tblLook w:val="04A0"/>
      </w:tblPr>
      <w:tblGrid>
        <w:gridCol w:w="3310"/>
        <w:gridCol w:w="274"/>
        <w:gridCol w:w="2030"/>
        <w:gridCol w:w="222"/>
        <w:gridCol w:w="1115"/>
        <w:gridCol w:w="2278"/>
      </w:tblGrid>
      <w:tr w:rsidR="00DD45DB" w:rsidRPr="00D51581" w:rsidTr="00D66054">
        <w:trPr>
          <w:trHeight w:val="283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DD45DB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Naziv potraživanja po osnovu premije</w:t>
            </w:r>
            <w:r w:rsidR="003263ED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reosiguranja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DD45DB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C85EFD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Ispra</w:t>
            </w:r>
            <w:r w:rsidR="00C85EFD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vka</w:t>
            </w: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</w:t>
            </w:r>
            <w:r w:rsidR="003263ED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P</w:t>
            </w: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ot</w:t>
            </w:r>
            <w:r w:rsidR="003263ED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raživ.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DD45DB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Stanje</w:t>
            </w:r>
            <w:r w:rsidR="00C85EFD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31.12.2015</w:t>
            </w:r>
          </w:p>
        </w:tc>
      </w:tr>
      <w:tr w:rsidR="00DD45DB" w:rsidRPr="00D51581" w:rsidTr="00D66054">
        <w:trPr>
          <w:trHeight w:val="29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3263ED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Potraživanja </w:t>
            </w:r>
            <w:r w:rsidR="003263ED"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od Bosna RE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DD45DB">
            <w:pP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DB" w:rsidRPr="006A4F12" w:rsidRDefault="003263ED" w:rsidP="00DD45DB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13.825,72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DB" w:rsidRPr="006A4F12" w:rsidRDefault="00DD45DB" w:rsidP="00DD45DB">
            <w:pPr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5DB" w:rsidRPr="006A4F12" w:rsidRDefault="003263ED" w:rsidP="00DD45DB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1.106,06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DB" w:rsidRPr="006A4F12" w:rsidRDefault="003263ED" w:rsidP="003263ED">
            <w:pPr>
              <w:jc w:val="right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="Cambria" w:hAnsi="Cambria"/>
                <w:iCs/>
                <w:color w:val="000000"/>
                <w:sz w:val="20"/>
                <w:szCs w:val="20"/>
              </w:rPr>
              <w:t>12.719,66</w:t>
            </w:r>
          </w:p>
        </w:tc>
      </w:tr>
    </w:tbl>
    <w:p w:rsidR="00DD45DB" w:rsidRDefault="00DD45DB">
      <w:pPr>
        <w:jc w:val="both"/>
        <w:rPr>
          <w:rFonts w:asciiTheme="majorHAnsi" w:hAnsiTheme="majorHAnsi"/>
          <w:bCs/>
          <w:sz w:val="22"/>
          <w:szCs w:val="22"/>
        </w:rPr>
      </w:pPr>
    </w:p>
    <w:p w:rsidR="003263ED" w:rsidRDefault="000937DC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3263ED">
        <w:rPr>
          <w:rFonts w:asciiTheme="majorHAnsi" w:hAnsiTheme="majorHAnsi"/>
          <w:bCs/>
          <w:sz w:val="22"/>
          <w:szCs w:val="22"/>
        </w:rPr>
        <w:t xml:space="preserve">Potraživanje po osnovu učešća reosiguravača u šteti je procjenjivano po Pravilniku o procjenjivanju bilansnih i vanbilansnih pozicija u iznosu od 1106,06 KM tako da je stanje </w:t>
      </w:r>
      <w:r w:rsidR="002B104A">
        <w:rPr>
          <w:rFonts w:asciiTheme="majorHAnsi" w:hAnsiTheme="majorHAnsi"/>
          <w:bCs/>
          <w:sz w:val="22"/>
          <w:szCs w:val="22"/>
        </w:rPr>
        <w:t>31.12.2015.g.</w:t>
      </w:r>
      <w:r w:rsidR="003263ED">
        <w:rPr>
          <w:rFonts w:asciiTheme="majorHAnsi" w:hAnsiTheme="majorHAnsi"/>
          <w:bCs/>
          <w:sz w:val="22"/>
          <w:szCs w:val="22"/>
        </w:rPr>
        <w:t>12.719,66 KM.</w:t>
      </w:r>
    </w:p>
    <w:p w:rsidR="003263ED" w:rsidRDefault="003263ED">
      <w:pPr>
        <w:jc w:val="both"/>
        <w:rPr>
          <w:rFonts w:asciiTheme="majorHAnsi" w:hAnsiTheme="majorHAnsi"/>
          <w:bCs/>
          <w:sz w:val="22"/>
          <w:szCs w:val="22"/>
        </w:rPr>
      </w:pPr>
    </w:p>
    <w:p w:rsidR="003263ED" w:rsidRDefault="003263ED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Potraživanje je usaglašeno putem IOS-a sa 31.12.2015.g.</w:t>
      </w:r>
    </w:p>
    <w:p w:rsidR="003263ED" w:rsidRDefault="003263ED">
      <w:pPr>
        <w:jc w:val="both"/>
        <w:rPr>
          <w:rFonts w:asciiTheme="majorHAnsi" w:hAnsiTheme="majorHAnsi"/>
          <w:bCs/>
          <w:sz w:val="22"/>
          <w:szCs w:val="22"/>
        </w:rPr>
      </w:pPr>
    </w:p>
    <w:p w:rsidR="003263ED" w:rsidRDefault="003263ED">
      <w:pPr>
        <w:jc w:val="both"/>
        <w:rPr>
          <w:rFonts w:asciiTheme="majorHAnsi" w:hAnsiTheme="majorHAnsi"/>
          <w:bCs/>
          <w:sz w:val="22"/>
          <w:szCs w:val="22"/>
        </w:rPr>
      </w:pPr>
    </w:p>
    <w:p w:rsidR="002D0BFE" w:rsidRDefault="002D0BFE">
      <w:pPr>
        <w:jc w:val="both"/>
        <w:rPr>
          <w:rFonts w:asciiTheme="majorHAnsi" w:hAnsiTheme="majorHAnsi"/>
          <w:bCs/>
          <w:sz w:val="22"/>
          <w:szCs w:val="22"/>
        </w:rPr>
      </w:pPr>
    </w:p>
    <w:p w:rsidR="002D0BFE" w:rsidRDefault="002D0BFE">
      <w:pPr>
        <w:jc w:val="both"/>
        <w:rPr>
          <w:rFonts w:asciiTheme="majorHAnsi" w:hAnsiTheme="majorHAnsi"/>
          <w:bCs/>
          <w:sz w:val="22"/>
          <w:szCs w:val="22"/>
        </w:rPr>
      </w:pPr>
    </w:p>
    <w:p w:rsidR="002D0BFE" w:rsidRDefault="002D0BFE">
      <w:pPr>
        <w:jc w:val="both"/>
        <w:rPr>
          <w:rFonts w:asciiTheme="majorHAnsi" w:hAnsiTheme="majorHAnsi"/>
          <w:bCs/>
          <w:sz w:val="22"/>
          <w:szCs w:val="22"/>
        </w:rPr>
      </w:pPr>
    </w:p>
    <w:p w:rsidR="002D0BFE" w:rsidRDefault="002D0BFE">
      <w:pPr>
        <w:jc w:val="both"/>
        <w:rPr>
          <w:rFonts w:asciiTheme="majorHAnsi" w:hAnsiTheme="majorHAnsi"/>
          <w:bCs/>
          <w:sz w:val="22"/>
          <w:szCs w:val="22"/>
        </w:rPr>
      </w:pPr>
    </w:p>
    <w:p w:rsidR="002D0BFE" w:rsidRDefault="002D0BFE">
      <w:pPr>
        <w:jc w:val="both"/>
        <w:rPr>
          <w:rFonts w:asciiTheme="majorHAnsi" w:hAnsiTheme="majorHAnsi"/>
          <w:bCs/>
          <w:sz w:val="22"/>
          <w:szCs w:val="22"/>
        </w:rPr>
      </w:pPr>
    </w:p>
    <w:p w:rsidR="003263ED" w:rsidRDefault="003263ED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263ED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NOTA 10(AOP43)</w:t>
      </w:r>
    </w:p>
    <w:p w:rsidR="003263ED" w:rsidRDefault="003263E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263ED">
        <w:rPr>
          <w:rFonts w:asciiTheme="majorHAnsi" w:hAnsiTheme="majorHAnsi"/>
          <w:b/>
          <w:bCs/>
          <w:sz w:val="22"/>
          <w:szCs w:val="22"/>
        </w:rPr>
        <w:t>Potraživanja iz specifičnih poslova</w:t>
      </w:r>
    </w:p>
    <w:p w:rsidR="00CD795A" w:rsidRDefault="00CD795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087" w:type="dxa"/>
        <w:tblInd w:w="93" w:type="dxa"/>
        <w:tblLook w:val="04A0"/>
      </w:tblPr>
      <w:tblGrid>
        <w:gridCol w:w="1685"/>
        <w:gridCol w:w="271"/>
        <w:gridCol w:w="974"/>
        <w:gridCol w:w="266"/>
        <w:gridCol w:w="1842"/>
        <w:gridCol w:w="266"/>
        <w:gridCol w:w="1232"/>
        <w:gridCol w:w="266"/>
        <w:gridCol w:w="1151"/>
        <w:gridCol w:w="1134"/>
      </w:tblGrid>
      <w:tr w:rsidR="00706496" w:rsidRPr="00CD795A" w:rsidTr="00DA6D1B">
        <w:trPr>
          <w:trHeight w:val="52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706496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Stanje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Ispravka vrijednosti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Stanje po isp.i otpisu</w:t>
            </w:r>
          </w:p>
        </w:tc>
      </w:tr>
      <w:tr w:rsidR="00706496" w:rsidRPr="00CD795A" w:rsidTr="00706496">
        <w:trPr>
          <w:trHeight w:val="30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C33BC0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168.906,68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70.329,82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C33BC0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15.495,50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83.081,33</w:t>
            </w:r>
          </w:p>
        </w:tc>
      </w:tr>
      <w:tr w:rsidR="00706496" w:rsidRPr="00CD795A" w:rsidTr="00706496">
        <w:trPr>
          <w:trHeight w:val="30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305,55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C33BC0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281,11</w:t>
            </w:r>
          </w:p>
        </w:tc>
      </w:tr>
      <w:tr w:rsidR="00706496" w:rsidRPr="00CD795A" w:rsidTr="00706496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D795A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C33BC0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169.212,23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70.354,29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96" w:rsidRPr="006A4F12" w:rsidRDefault="00C33BC0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15.495,50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96" w:rsidRPr="006A4F12" w:rsidRDefault="00706496" w:rsidP="00C33BC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6A4F1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83.362,44</w:t>
            </w:r>
          </w:p>
        </w:tc>
      </w:tr>
    </w:tbl>
    <w:p w:rsidR="00706496" w:rsidRDefault="00706496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C33BC0" w:rsidRDefault="00442853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</w:t>
      </w:r>
      <w:r w:rsidR="00575BE3">
        <w:rPr>
          <w:rFonts w:asciiTheme="majorHAnsi" w:hAnsiTheme="majorHAnsi"/>
          <w:bCs/>
          <w:sz w:val="22"/>
          <w:szCs w:val="22"/>
        </w:rPr>
        <w:t xml:space="preserve">  </w:t>
      </w:r>
      <w:r w:rsidR="00C33BC0">
        <w:rPr>
          <w:rFonts w:asciiTheme="majorHAnsi" w:hAnsiTheme="majorHAnsi"/>
          <w:bCs/>
          <w:sz w:val="22"/>
          <w:szCs w:val="22"/>
        </w:rPr>
        <w:t>Potraživanja po osnovu regresa u iznosu od 169.212,23KM su procjenjivana po Pravilniku o procjenjivanju bilansnih i vanbilansnih pozicija pa su ispravljena  u iznosu od 70.354,29KM.</w:t>
      </w:r>
    </w:p>
    <w:p w:rsidR="00C33BC0" w:rsidRDefault="000178A9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C33BC0">
        <w:rPr>
          <w:rFonts w:asciiTheme="majorHAnsi" w:hAnsiTheme="majorHAnsi"/>
          <w:bCs/>
          <w:sz w:val="22"/>
          <w:szCs w:val="22"/>
        </w:rPr>
        <w:t>Zbog nemogućnnosti naplate</w:t>
      </w:r>
      <w:r w:rsidR="00D643B9">
        <w:rPr>
          <w:rFonts w:asciiTheme="majorHAnsi" w:hAnsiTheme="majorHAnsi"/>
          <w:bCs/>
          <w:sz w:val="22"/>
          <w:szCs w:val="22"/>
        </w:rPr>
        <w:t>,</w:t>
      </w:r>
      <w:r w:rsidR="00C33BC0">
        <w:rPr>
          <w:rFonts w:asciiTheme="majorHAnsi" w:hAnsiTheme="majorHAnsi"/>
          <w:bCs/>
          <w:sz w:val="22"/>
          <w:szCs w:val="22"/>
        </w:rPr>
        <w:t xml:space="preserve"> regres</w:t>
      </w:r>
      <w:r w:rsidR="00D643B9">
        <w:rPr>
          <w:rFonts w:asciiTheme="majorHAnsi" w:hAnsiTheme="majorHAnsi"/>
          <w:bCs/>
          <w:sz w:val="22"/>
          <w:szCs w:val="22"/>
        </w:rPr>
        <w:t>i</w:t>
      </w:r>
      <w:r w:rsidR="00C33BC0">
        <w:rPr>
          <w:rFonts w:asciiTheme="majorHAnsi" w:hAnsiTheme="majorHAnsi"/>
          <w:bCs/>
          <w:sz w:val="22"/>
          <w:szCs w:val="22"/>
        </w:rPr>
        <w:t xml:space="preserve"> koji nisu naplaćeni iz predhodnih godina,posle sagledavanja  svih uslova oko mogućnosti naplate,</w:t>
      </w:r>
      <w:r w:rsidR="00D643B9">
        <w:rPr>
          <w:rFonts w:asciiTheme="majorHAnsi" w:hAnsiTheme="majorHAnsi"/>
          <w:bCs/>
          <w:sz w:val="22"/>
          <w:szCs w:val="22"/>
        </w:rPr>
        <w:t xml:space="preserve">su </w:t>
      </w:r>
      <w:r w:rsidR="00C33BC0">
        <w:rPr>
          <w:rFonts w:asciiTheme="majorHAnsi" w:hAnsiTheme="majorHAnsi"/>
          <w:bCs/>
          <w:sz w:val="22"/>
          <w:szCs w:val="22"/>
        </w:rPr>
        <w:t xml:space="preserve"> direkt</w:t>
      </w:r>
      <w:r w:rsidR="00D643B9">
        <w:rPr>
          <w:rFonts w:asciiTheme="majorHAnsi" w:hAnsiTheme="majorHAnsi"/>
          <w:bCs/>
          <w:sz w:val="22"/>
          <w:szCs w:val="22"/>
        </w:rPr>
        <w:t>no</w:t>
      </w:r>
      <w:r w:rsidR="00C33BC0">
        <w:rPr>
          <w:rFonts w:asciiTheme="majorHAnsi" w:hAnsiTheme="majorHAnsi"/>
          <w:bCs/>
          <w:sz w:val="22"/>
          <w:szCs w:val="22"/>
        </w:rPr>
        <w:t xml:space="preserve"> otpis</w:t>
      </w:r>
      <w:r w:rsidR="00D643B9">
        <w:rPr>
          <w:rFonts w:asciiTheme="majorHAnsi" w:hAnsiTheme="majorHAnsi"/>
          <w:bCs/>
          <w:sz w:val="22"/>
          <w:szCs w:val="22"/>
        </w:rPr>
        <w:t>ani</w:t>
      </w:r>
      <w:r w:rsidR="00C33BC0">
        <w:rPr>
          <w:rFonts w:asciiTheme="majorHAnsi" w:hAnsiTheme="majorHAnsi"/>
          <w:bCs/>
          <w:sz w:val="22"/>
          <w:szCs w:val="22"/>
        </w:rPr>
        <w:t xml:space="preserve"> u iznosu od 15.495,50KM.</w:t>
      </w:r>
    </w:p>
    <w:p w:rsidR="00DF545A" w:rsidRDefault="00DF545A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 toku godine naplaćeno je 303.503,12KM regresa što je</w:t>
      </w:r>
      <w:r w:rsidR="004F7570">
        <w:rPr>
          <w:rFonts w:asciiTheme="majorHAnsi" w:hAnsiTheme="majorHAnsi"/>
          <w:bCs/>
          <w:sz w:val="22"/>
          <w:szCs w:val="22"/>
        </w:rPr>
        <w:t xml:space="preserve"> znatno </w:t>
      </w:r>
      <w:r>
        <w:rPr>
          <w:rFonts w:asciiTheme="majorHAnsi" w:hAnsiTheme="majorHAnsi"/>
          <w:bCs/>
          <w:sz w:val="22"/>
          <w:szCs w:val="22"/>
        </w:rPr>
        <w:t xml:space="preserve"> više u</w:t>
      </w:r>
      <w:r w:rsidR="004F7570">
        <w:rPr>
          <w:rFonts w:asciiTheme="majorHAnsi" w:hAnsiTheme="majorHAnsi"/>
          <w:bCs/>
          <w:sz w:val="22"/>
          <w:szCs w:val="22"/>
        </w:rPr>
        <w:t xml:space="preserve"> odnosu na predhodnu godinu </w:t>
      </w:r>
      <w:r w:rsidR="00282EE4">
        <w:rPr>
          <w:rFonts w:asciiTheme="majorHAnsi" w:hAnsiTheme="majorHAnsi"/>
          <w:bCs/>
          <w:sz w:val="22"/>
          <w:szCs w:val="22"/>
        </w:rPr>
        <w:t>(</w:t>
      </w:r>
      <w:r w:rsidR="004F7570">
        <w:rPr>
          <w:rFonts w:asciiTheme="majorHAnsi" w:hAnsiTheme="majorHAnsi"/>
          <w:bCs/>
          <w:sz w:val="22"/>
          <w:szCs w:val="22"/>
        </w:rPr>
        <w:t>214.344KM</w:t>
      </w:r>
      <w:r w:rsidR="00282EE4">
        <w:rPr>
          <w:rFonts w:asciiTheme="majorHAnsi" w:hAnsiTheme="majorHAnsi"/>
          <w:bCs/>
          <w:sz w:val="22"/>
          <w:szCs w:val="22"/>
        </w:rPr>
        <w:t>)</w:t>
      </w:r>
      <w:r w:rsidR="004F7570">
        <w:rPr>
          <w:rFonts w:asciiTheme="majorHAnsi" w:hAnsiTheme="majorHAnsi"/>
          <w:bCs/>
          <w:sz w:val="22"/>
          <w:szCs w:val="22"/>
        </w:rPr>
        <w:t>.</w:t>
      </w:r>
    </w:p>
    <w:p w:rsidR="003230AA" w:rsidRDefault="003230AA" w:rsidP="003F6193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230AA" w:rsidRDefault="003230AA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A3860" w:rsidRDefault="00FA3860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FA3860">
        <w:rPr>
          <w:rFonts w:asciiTheme="majorHAnsi" w:hAnsiTheme="majorHAnsi"/>
          <w:b/>
          <w:bCs/>
          <w:sz w:val="22"/>
          <w:szCs w:val="22"/>
          <w:u w:val="single"/>
        </w:rPr>
        <w:t>NOTA 11(AOP044)</w:t>
      </w:r>
    </w:p>
    <w:p w:rsidR="00FA3860" w:rsidRDefault="00FA3860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A3860">
        <w:rPr>
          <w:rFonts w:asciiTheme="majorHAnsi" w:hAnsiTheme="majorHAnsi"/>
          <w:b/>
          <w:bCs/>
          <w:sz w:val="22"/>
          <w:szCs w:val="22"/>
        </w:rPr>
        <w:t>Druga potraživanja</w:t>
      </w:r>
    </w:p>
    <w:p w:rsidR="00580A4B" w:rsidRDefault="00580A4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F545A" w:rsidRDefault="00FA3860" w:rsidP="00706496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 drugim potraživanjima Društvo vodi potraživanje po osnovu kamata,zakupa,ostala potraživanja i pretplate po porezima</w:t>
      </w:r>
      <w:r w:rsidR="00580A4B">
        <w:rPr>
          <w:rFonts w:asciiTheme="majorHAnsi" w:hAnsiTheme="majorHAnsi"/>
          <w:bCs/>
          <w:sz w:val="22"/>
          <w:szCs w:val="22"/>
        </w:rPr>
        <w:t>.</w:t>
      </w:r>
    </w:p>
    <w:tbl>
      <w:tblPr>
        <w:tblW w:w="9287" w:type="dxa"/>
        <w:tblInd w:w="93" w:type="dxa"/>
        <w:tblLook w:val="04A0"/>
      </w:tblPr>
      <w:tblGrid>
        <w:gridCol w:w="1736"/>
        <w:gridCol w:w="271"/>
        <w:gridCol w:w="1000"/>
        <w:gridCol w:w="960"/>
        <w:gridCol w:w="1100"/>
        <w:gridCol w:w="1920"/>
        <w:gridCol w:w="2300"/>
      </w:tblGrid>
      <w:tr w:rsidR="00FA3860" w:rsidRPr="00FA3860" w:rsidTr="00FA3860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Ispravka vrijednosti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Stanje po ispravci</w:t>
            </w:r>
          </w:p>
          <w:p w:rsidR="00FA3860" w:rsidRPr="00EC0F6A" w:rsidRDefault="00FA3860" w:rsidP="00FA3860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A3860" w:rsidRPr="00FA3860" w:rsidTr="00580A4B">
        <w:trPr>
          <w:trHeight w:val="286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167E7A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167E7A"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kamata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B556C5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1.291,73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51.67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1.240,06</w:t>
            </w:r>
          </w:p>
        </w:tc>
      </w:tr>
      <w:tr w:rsidR="00FA3860" w:rsidRPr="00FA3860" w:rsidTr="00FA3860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282EE4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r w:rsidR="00167E7A"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osn</w:t>
            </w:r>
            <w:r w:rsidR="00282EE4"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ovu </w:t>
            </w:r>
            <w:r w:rsidR="00167E7A"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zakupa</w:t>
            </w: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B556C5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12.824,90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698,08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12.126,82</w:t>
            </w:r>
          </w:p>
        </w:tc>
      </w:tr>
      <w:tr w:rsidR="00FA3860" w:rsidRPr="00FA3860" w:rsidTr="00FA3860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167E7A" w:rsidP="00FA386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</w:t>
            </w:r>
            <w:r w:rsidR="00282EE4"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raživanja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B556C5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1.322,14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933,77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388,37</w:t>
            </w:r>
          </w:p>
        </w:tc>
      </w:tr>
      <w:tr w:rsidR="00FA3860" w:rsidRPr="00FA3860" w:rsidTr="00FA3860">
        <w:trPr>
          <w:trHeight w:val="30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167E7A" w:rsidP="00282EE4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Pretplata porez</w:t>
            </w:r>
            <w:r w:rsidR="00282EE4"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B556C5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119,79</w:t>
            </w:r>
          </w:p>
        </w:tc>
      </w:tr>
      <w:tr w:rsidR="00FA3860" w:rsidRPr="00FA3860" w:rsidTr="00FA3860">
        <w:trPr>
          <w:trHeight w:val="30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60" w:rsidRPr="00EC0F6A" w:rsidRDefault="00FA3860" w:rsidP="00FA386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15.558,56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1.683,52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860" w:rsidRPr="00EC0F6A" w:rsidRDefault="005F6FA6" w:rsidP="00FA3860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C0F6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13.875,04</w:t>
            </w:r>
          </w:p>
        </w:tc>
      </w:tr>
    </w:tbl>
    <w:p w:rsidR="00C33BC0" w:rsidRDefault="00C33BC0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0F0196" w:rsidRDefault="0032095B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</w:t>
      </w:r>
      <w:r w:rsidR="00E278F4">
        <w:rPr>
          <w:rFonts w:asciiTheme="majorHAnsi" w:hAnsiTheme="majorHAnsi"/>
          <w:bCs/>
          <w:sz w:val="22"/>
          <w:szCs w:val="22"/>
        </w:rPr>
        <w:t xml:space="preserve">    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0F0196">
        <w:rPr>
          <w:rFonts w:asciiTheme="majorHAnsi" w:hAnsiTheme="majorHAnsi"/>
          <w:bCs/>
          <w:sz w:val="22"/>
          <w:szCs w:val="22"/>
        </w:rPr>
        <w:t>Druga potraživanja u iznosu od 15.558,56KM su procjenjivana po Pravilniku o procjenjivanju bilansnih i vanbilansnih pozicij</w:t>
      </w:r>
      <w:r w:rsidR="002021CD">
        <w:rPr>
          <w:rFonts w:asciiTheme="majorHAnsi" w:hAnsiTheme="majorHAnsi"/>
          <w:bCs/>
          <w:sz w:val="22"/>
          <w:szCs w:val="22"/>
        </w:rPr>
        <w:t>a</w:t>
      </w:r>
      <w:r w:rsidR="000F0196">
        <w:rPr>
          <w:rFonts w:asciiTheme="majorHAnsi" w:hAnsiTheme="majorHAnsi"/>
          <w:bCs/>
          <w:sz w:val="22"/>
          <w:szCs w:val="22"/>
        </w:rPr>
        <w:t>,pa je po tom osnovu izvršena ispravka potraživanja u iznosu od 1.683,52KM.</w:t>
      </w:r>
    </w:p>
    <w:p w:rsidR="000F0196" w:rsidRDefault="00E90D43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</w:t>
      </w:r>
      <w:r w:rsidR="000F0196">
        <w:rPr>
          <w:rFonts w:asciiTheme="majorHAnsi" w:hAnsiTheme="majorHAnsi"/>
          <w:bCs/>
          <w:sz w:val="22"/>
          <w:szCs w:val="22"/>
        </w:rPr>
        <w:t>Potraživanja po osnovu kamata su nastala po osnovu zajma odobrenog pravnom licu Brčko-gas Brčko,a koji služi za pokriće tehničkih rezervi Društva.</w:t>
      </w:r>
    </w:p>
    <w:p w:rsidR="00FB5204" w:rsidRDefault="00FB5204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FB5204" w:rsidRDefault="00FB5204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Navedena potraživanja su na dan 31.12.2015.g. usaglašavana putem IOS-a.</w:t>
      </w:r>
    </w:p>
    <w:p w:rsidR="0032095B" w:rsidRDefault="0032095B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32095B" w:rsidRDefault="00E90D43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32095B">
        <w:rPr>
          <w:rFonts w:asciiTheme="majorHAnsi" w:hAnsiTheme="majorHAnsi"/>
          <w:bCs/>
          <w:sz w:val="22"/>
          <w:szCs w:val="22"/>
        </w:rPr>
        <w:t>Potraživanja po osnovu zakupa su nastala po osnovu izdavanja investicionih nekretnina i objekata u zakup a na osnovu kojih je u toku godine naplaćeno 448.337,74KM,što je svakako uticalo pozitivno na novčani tok Društva.</w:t>
      </w:r>
    </w:p>
    <w:p w:rsidR="002021CD" w:rsidRDefault="000A632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         </w:t>
      </w:r>
      <w:r w:rsidR="002021CD">
        <w:rPr>
          <w:rFonts w:asciiTheme="majorHAnsi" w:hAnsiTheme="majorHAnsi"/>
          <w:bCs/>
          <w:sz w:val="22"/>
          <w:szCs w:val="22"/>
        </w:rPr>
        <w:t>Zakupoprimci u 2015. godini su:BG Elektronik doo Bijeljina,Krijcos doo Bijeljina,Pošte srpske B.Luka,Moja apoteka doo B.Luka,Pekoteka Petrović-s K.Varoš,Pavlović I.Bank Bijeljina,DGR B.Luka,</w:t>
      </w:r>
    </w:p>
    <w:p w:rsidR="002021CD" w:rsidRDefault="002021CD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Mtel</w:t>
      </w:r>
      <w:r w:rsidR="00AA0FA9">
        <w:rPr>
          <w:rFonts w:asciiTheme="majorHAnsi" w:hAnsiTheme="majorHAnsi"/>
          <w:bCs/>
          <w:sz w:val="22"/>
          <w:szCs w:val="22"/>
        </w:rPr>
        <w:t xml:space="preserve"> ad</w:t>
      </w:r>
      <w:r>
        <w:rPr>
          <w:rFonts w:asciiTheme="majorHAnsi" w:hAnsiTheme="majorHAnsi"/>
          <w:bCs/>
          <w:sz w:val="22"/>
          <w:szCs w:val="22"/>
        </w:rPr>
        <w:t xml:space="preserve"> B.Luka,Nešković doo Bijeljina i Autocentar Nešković</w:t>
      </w:r>
      <w:r w:rsidR="00AA0FA9">
        <w:rPr>
          <w:rFonts w:asciiTheme="majorHAnsi" w:hAnsiTheme="majorHAnsi"/>
          <w:bCs/>
          <w:sz w:val="22"/>
          <w:szCs w:val="22"/>
        </w:rPr>
        <w:t xml:space="preserve"> doo</w:t>
      </w:r>
      <w:r>
        <w:rPr>
          <w:rFonts w:asciiTheme="majorHAnsi" w:hAnsiTheme="majorHAnsi"/>
          <w:bCs/>
          <w:sz w:val="22"/>
          <w:szCs w:val="22"/>
        </w:rPr>
        <w:t xml:space="preserve"> Bijeljina.</w:t>
      </w:r>
    </w:p>
    <w:p w:rsidR="002021CD" w:rsidRDefault="002021CD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 toku godine raskinut je ugovor sa fizičkim licem Pajić Jelena i Sekulić Željko.</w:t>
      </w:r>
    </w:p>
    <w:p w:rsidR="00A22D8B" w:rsidRDefault="00A22D8B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A22D8B" w:rsidRPr="00A22D8B" w:rsidRDefault="00A22D8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22D8B">
        <w:rPr>
          <w:rFonts w:asciiTheme="majorHAnsi" w:hAnsiTheme="majorHAnsi"/>
          <w:b/>
          <w:bCs/>
          <w:sz w:val="22"/>
          <w:szCs w:val="22"/>
          <w:u w:val="single"/>
        </w:rPr>
        <w:t>NOTA 12(AOKP 046</w:t>
      </w:r>
      <w:r w:rsidRPr="00A22D8B">
        <w:rPr>
          <w:rFonts w:asciiTheme="majorHAnsi" w:hAnsiTheme="majorHAnsi"/>
          <w:b/>
          <w:bCs/>
          <w:sz w:val="22"/>
          <w:szCs w:val="22"/>
        </w:rPr>
        <w:t>)</w:t>
      </w:r>
    </w:p>
    <w:p w:rsidR="00A22D8B" w:rsidRDefault="00A22D8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22D8B">
        <w:rPr>
          <w:rFonts w:asciiTheme="majorHAnsi" w:hAnsiTheme="majorHAnsi"/>
          <w:b/>
          <w:bCs/>
          <w:sz w:val="22"/>
          <w:szCs w:val="22"/>
        </w:rPr>
        <w:t>Kratkoročni finansijski plasmani</w:t>
      </w:r>
      <w:r>
        <w:rPr>
          <w:rFonts w:asciiTheme="majorHAnsi" w:hAnsiTheme="majorHAnsi"/>
          <w:b/>
          <w:bCs/>
          <w:sz w:val="22"/>
          <w:szCs w:val="22"/>
        </w:rPr>
        <w:t xml:space="preserve"> u povezana pravna lica</w:t>
      </w:r>
    </w:p>
    <w:p w:rsidR="00A22D8B" w:rsidRDefault="00A22D8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22D8B" w:rsidRDefault="001B4C8F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A22D8B" w:rsidRPr="00A22D8B">
        <w:rPr>
          <w:rFonts w:asciiTheme="majorHAnsi" w:hAnsiTheme="majorHAnsi"/>
          <w:bCs/>
          <w:sz w:val="22"/>
          <w:szCs w:val="22"/>
        </w:rPr>
        <w:t>Povezano</w:t>
      </w:r>
      <w:r w:rsidR="00A22D8B">
        <w:rPr>
          <w:rFonts w:asciiTheme="majorHAnsi" w:hAnsiTheme="majorHAnsi"/>
          <w:bCs/>
          <w:sz w:val="22"/>
          <w:szCs w:val="22"/>
        </w:rPr>
        <w:t>m</w:t>
      </w:r>
      <w:r w:rsidR="00A22D8B" w:rsidRPr="00A22D8B">
        <w:rPr>
          <w:rFonts w:asciiTheme="majorHAnsi" w:hAnsiTheme="majorHAnsi"/>
          <w:bCs/>
          <w:sz w:val="22"/>
          <w:szCs w:val="22"/>
        </w:rPr>
        <w:t xml:space="preserve"> pravnom licu </w:t>
      </w:r>
      <w:r w:rsidR="00A22D8B">
        <w:rPr>
          <w:rFonts w:asciiTheme="majorHAnsi" w:hAnsiTheme="majorHAnsi"/>
          <w:bCs/>
          <w:sz w:val="22"/>
          <w:szCs w:val="22"/>
        </w:rPr>
        <w:t xml:space="preserve">Nešković doo Bijeljina je odobren kratkoročni zajam u iznosu od 700.000KM  uz kamatu od 4,10%,a koji je odobren </w:t>
      </w:r>
      <w:r w:rsidR="007E37EC">
        <w:rPr>
          <w:rFonts w:asciiTheme="majorHAnsi" w:hAnsiTheme="majorHAnsi"/>
          <w:bCs/>
          <w:sz w:val="22"/>
          <w:szCs w:val="22"/>
        </w:rPr>
        <w:t>22</w:t>
      </w:r>
      <w:r w:rsidR="00A22D8B">
        <w:rPr>
          <w:rFonts w:asciiTheme="majorHAnsi" w:hAnsiTheme="majorHAnsi"/>
          <w:bCs/>
          <w:sz w:val="22"/>
          <w:szCs w:val="22"/>
        </w:rPr>
        <w:t xml:space="preserve">.01.2015.g. sa valutom </w:t>
      </w:r>
      <w:r w:rsidR="007E37EC">
        <w:rPr>
          <w:rFonts w:asciiTheme="majorHAnsi" w:hAnsiTheme="majorHAnsi"/>
          <w:bCs/>
          <w:sz w:val="22"/>
          <w:szCs w:val="22"/>
        </w:rPr>
        <w:t>22</w:t>
      </w:r>
      <w:r w:rsidR="00A22D8B">
        <w:rPr>
          <w:rFonts w:asciiTheme="majorHAnsi" w:hAnsiTheme="majorHAnsi"/>
          <w:bCs/>
          <w:sz w:val="22"/>
          <w:szCs w:val="22"/>
        </w:rPr>
        <w:t>.01.2016.g.</w:t>
      </w:r>
    </w:p>
    <w:p w:rsidR="00696338" w:rsidRPr="00A22D8B" w:rsidRDefault="0069633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Po navedenom zajmu je obračunata i naplaćena kamata u iznosu od 26.946KM.</w:t>
      </w:r>
    </w:p>
    <w:p w:rsidR="00A22D8B" w:rsidRDefault="00A22D8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96338" w:rsidRDefault="001B4C8F" w:rsidP="00706496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696338" w:rsidRPr="00696338">
        <w:rPr>
          <w:rFonts w:asciiTheme="majorHAnsi" w:hAnsiTheme="majorHAnsi"/>
          <w:bCs/>
          <w:sz w:val="22"/>
          <w:szCs w:val="22"/>
        </w:rPr>
        <w:t xml:space="preserve">Navedeni zajam </w:t>
      </w:r>
      <w:r w:rsidR="00696338">
        <w:rPr>
          <w:rFonts w:asciiTheme="majorHAnsi" w:hAnsiTheme="majorHAnsi"/>
          <w:bCs/>
          <w:sz w:val="22"/>
          <w:szCs w:val="22"/>
        </w:rPr>
        <w:t>je odobren u cilju pokrića sredstava za tehničke rezerve Društva a u skladu sa Pravilnikom o ulaganju sredstava društva za osiguranje.</w:t>
      </w:r>
    </w:p>
    <w:p w:rsidR="00696338" w:rsidRDefault="00696338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696338" w:rsidRDefault="00696338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7A3B0E">
        <w:rPr>
          <w:rFonts w:asciiTheme="majorHAnsi" w:hAnsiTheme="majorHAnsi"/>
          <w:b/>
          <w:bCs/>
          <w:sz w:val="22"/>
          <w:szCs w:val="22"/>
          <w:u w:val="single"/>
        </w:rPr>
        <w:t>NOTA 13(AOP 048</w:t>
      </w:r>
      <w:r w:rsidRPr="007A3B0E">
        <w:rPr>
          <w:rFonts w:asciiTheme="majorHAnsi" w:hAnsiTheme="majorHAnsi"/>
          <w:b/>
          <w:bCs/>
          <w:sz w:val="22"/>
          <w:szCs w:val="22"/>
        </w:rPr>
        <w:t>)</w:t>
      </w:r>
    </w:p>
    <w:p w:rsidR="007A3B0E" w:rsidRDefault="007A3B0E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Kratkoročni finansijski plasmani –depoziti</w:t>
      </w:r>
    </w:p>
    <w:tbl>
      <w:tblPr>
        <w:tblW w:w="9217" w:type="dxa"/>
        <w:tblInd w:w="93" w:type="dxa"/>
        <w:tblLook w:val="04A0"/>
      </w:tblPr>
      <w:tblGrid>
        <w:gridCol w:w="1943"/>
        <w:gridCol w:w="1275"/>
        <w:gridCol w:w="438"/>
        <w:gridCol w:w="1212"/>
        <w:gridCol w:w="1973"/>
        <w:gridCol w:w="1480"/>
        <w:gridCol w:w="933"/>
      </w:tblGrid>
      <w:tr w:rsidR="007A3B0E" w:rsidRPr="00F252BA" w:rsidTr="00D66054">
        <w:trPr>
          <w:trHeight w:val="33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%kam.</w:t>
            </w:r>
          </w:p>
        </w:tc>
      </w:tr>
      <w:tr w:rsidR="007A3B0E" w:rsidRPr="00F252BA" w:rsidTr="00D66054">
        <w:trPr>
          <w:trHeight w:val="337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MF banka B.Luka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0C66DC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15.09</w:t>
            </w:r>
            <w:r w:rsidR="007A3B0E" w:rsidRPr="00395B11">
              <w:rPr>
                <w:rFonts w:ascii="Cambria" w:hAnsi="Cambria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0C66DC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0C66DC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0C66DC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E" w:rsidRPr="00395B11" w:rsidRDefault="007A3B0E" w:rsidP="007F313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4,20</w:t>
            </w:r>
          </w:p>
        </w:tc>
      </w:tr>
    </w:tbl>
    <w:p w:rsidR="007A3B0E" w:rsidRDefault="007A3B0E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E7228" w:rsidRDefault="00BE722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</w:t>
      </w:r>
      <w:r w:rsidR="00C80418">
        <w:rPr>
          <w:rFonts w:asciiTheme="majorHAnsi" w:hAnsiTheme="majorHAnsi"/>
          <w:bCs/>
          <w:sz w:val="22"/>
          <w:szCs w:val="22"/>
        </w:rPr>
        <w:t xml:space="preserve">   </w:t>
      </w:r>
      <w:r>
        <w:rPr>
          <w:rFonts w:asciiTheme="majorHAnsi" w:hAnsiTheme="majorHAnsi"/>
          <w:bCs/>
          <w:sz w:val="22"/>
          <w:szCs w:val="22"/>
        </w:rPr>
        <w:t>Navedeni depozit je prerastao iz dugoročnog u kratkoročni depozit, obzirom da mu je rok naplate u 2016.g.Navedeni depozit služi za pokriće tehničkih rezervi društva u skladu sa Pravilnikom o ulaganju sredstava društva za osiguranje.</w:t>
      </w:r>
    </w:p>
    <w:p w:rsidR="00BE7228" w:rsidRDefault="00BE722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Po navedenom depozitu je ostvarena</w:t>
      </w:r>
      <w:r w:rsidR="006C6F67">
        <w:rPr>
          <w:rFonts w:asciiTheme="majorHAnsi" w:hAnsiTheme="majorHAnsi"/>
          <w:bCs/>
          <w:sz w:val="22"/>
          <w:szCs w:val="22"/>
        </w:rPr>
        <w:t xml:space="preserve"> i naplaćen</w:t>
      </w:r>
      <w:r w:rsidR="00DF7287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 xml:space="preserve"> kamata u iznosu od </w:t>
      </w:r>
      <w:r w:rsidR="006C6F67">
        <w:rPr>
          <w:rFonts w:asciiTheme="majorHAnsi" w:hAnsiTheme="majorHAnsi"/>
          <w:bCs/>
          <w:sz w:val="22"/>
          <w:szCs w:val="22"/>
        </w:rPr>
        <w:t>53.655,54KM.</w:t>
      </w:r>
    </w:p>
    <w:p w:rsidR="002335DC" w:rsidRDefault="002335DC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2335DC" w:rsidRDefault="002335DC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2335DC">
        <w:rPr>
          <w:rFonts w:asciiTheme="majorHAnsi" w:hAnsiTheme="majorHAnsi"/>
          <w:b/>
          <w:bCs/>
          <w:sz w:val="22"/>
          <w:szCs w:val="22"/>
          <w:u w:val="single"/>
        </w:rPr>
        <w:t>NOTA 14(AOP 052)</w:t>
      </w:r>
    </w:p>
    <w:p w:rsidR="002335DC" w:rsidRDefault="002335DC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2335DC">
        <w:rPr>
          <w:rFonts w:asciiTheme="majorHAnsi" w:hAnsiTheme="majorHAnsi"/>
          <w:b/>
          <w:bCs/>
          <w:sz w:val="22"/>
          <w:szCs w:val="22"/>
        </w:rPr>
        <w:t>Finansijska sredstva po fer vrijednosti kroz bilans uspjeha</w:t>
      </w:r>
    </w:p>
    <w:p w:rsidR="00AC4BEA" w:rsidRDefault="00AC4BEA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824795" w:rsidRPr="00A6715F" w:rsidRDefault="00A6715F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A6715F">
        <w:rPr>
          <w:rFonts w:asciiTheme="majorHAnsi" w:hAnsiTheme="majorHAnsi"/>
          <w:bCs/>
          <w:sz w:val="22"/>
          <w:szCs w:val="22"/>
        </w:rPr>
        <w:t xml:space="preserve">Društvo </w:t>
      </w:r>
      <w:r>
        <w:rPr>
          <w:rFonts w:asciiTheme="majorHAnsi" w:hAnsiTheme="majorHAnsi"/>
          <w:bCs/>
          <w:sz w:val="22"/>
          <w:szCs w:val="22"/>
        </w:rPr>
        <w:t>raspolaže sa akcijama sledećih komitenata</w:t>
      </w:r>
      <w:r w:rsidR="00AC4BEA">
        <w:rPr>
          <w:rFonts w:asciiTheme="majorHAnsi" w:hAnsiTheme="majorHAnsi"/>
          <w:bCs/>
          <w:sz w:val="22"/>
          <w:szCs w:val="22"/>
        </w:rPr>
        <w:t>:</w:t>
      </w:r>
    </w:p>
    <w:tbl>
      <w:tblPr>
        <w:tblW w:w="9268" w:type="dxa"/>
        <w:tblInd w:w="93" w:type="dxa"/>
        <w:tblLook w:val="04A0"/>
      </w:tblPr>
      <w:tblGrid>
        <w:gridCol w:w="1446"/>
        <w:gridCol w:w="2309"/>
        <w:gridCol w:w="1220"/>
        <w:gridCol w:w="1220"/>
        <w:gridCol w:w="1514"/>
        <w:gridCol w:w="1559"/>
      </w:tblGrid>
      <w:tr w:rsidR="00B9222A" w:rsidRPr="00B9222A" w:rsidTr="008A668C">
        <w:trPr>
          <w:trHeight w:val="2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Naziv komitenta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Vrijednost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Žitopromet Bijeljina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0,7900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62.385,51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Raf.ulja Modriča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0,2260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34.352,00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Hid.na Drini Višegrad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0,2910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669,88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INVP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Invest Nova Bijeljina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0,0410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451,00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Rafinerija nafte Brod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0,0130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1.434,12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Perol-Nestro B.Luka</w:t>
            </w:r>
          </w:p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0,8000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9.343,20</w:t>
            </w:r>
          </w:p>
        </w:tc>
      </w:tr>
      <w:tr w:rsidR="00B9222A" w:rsidRPr="00B9222A" w:rsidTr="008A668C">
        <w:trPr>
          <w:trHeight w:val="27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2A" w:rsidRPr="00395B11" w:rsidRDefault="00B9222A" w:rsidP="00B9222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5B11">
              <w:rPr>
                <w:rFonts w:ascii="Cambria" w:hAnsi="Cambria"/>
                <w:color w:val="000000"/>
                <w:sz w:val="20"/>
                <w:szCs w:val="20"/>
              </w:rPr>
              <w:t>108.635,71</w:t>
            </w:r>
          </w:p>
        </w:tc>
      </w:tr>
    </w:tbl>
    <w:p w:rsidR="00A6715F" w:rsidRDefault="00A6715F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A6715F" w:rsidRDefault="00744C9F" w:rsidP="00706496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</w:p>
    <w:p w:rsidR="00A6715F" w:rsidRDefault="00AC4BEA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  </w:t>
      </w:r>
      <w:r w:rsidR="0032648F">
        <w:rPr>
          <w:rFonts w:asciiTheme="majorHAnsi" w:hAnsiTheme="majorHAnsi"/>
          <w:bCs/>
          <w:sz w:val="22"/>
          <w:szCs w:val="22"/>
        </w:rPr>
        <w:t xml:space="preserve">     </w:t>
      </w:r>
      <w:r>
        <w:rPr>
          <w:rFonts w:asciiTheme="majorHAnsi" w:hAnsiTheme="majorHAnsi"/>
          <w:bCs/>
          <w:sz w:val="22"/>
          <w:szCs w:val="22"/>
        </w:rPr>
        <w:t xml:space="preserve"> Na dan 01.01.2016.g.je izvodom iz Centralnog registra </w:t>
      </w:r>
      <w:r w:rsidR="00C254DC">
        <w:rPr>
          <w:rFonts w:asciiTheme="majorHAnsi" w:hAnsiTheme="majorHAnsi"/>
          <w:bCs/>
          <w:sz w:val="22"/>
          <w:szCs w:val="22"/>
        </w:rPr>
        <w:t xml:space="preserve">je </w:t>
      </w:r>
      <w:r>
        <w:rPr>
          <w:rFonts w:asciiTheme="majorHAnsi" w:hAnsiTheme="majorHAnsi"/>
          <w:bCs/>
          <w:sz w:val="22"/>
          <w:szCs w:val="22"/>
        </w:rPr>
        <w:t>potvđeno stanje akcija po komitentima</w:t>
      </w:r>
      <w:r w:rsidR="00EF4D6F">
        <w:rPr>
          <w:rFonts w:asciiTheme="majorHAnsi" w:hAnsiTheme="majorHAnsi"/>
          <w:bCs/>
          <w:sz w:val="22"/>
          <w:szCs w:val="22"/>
        </w:rPr>
        <w:t xml:space="preserve"> koj</w:t>
      </w:r>
      <w:r w:rsidR="00744C9F">
        <w:rPr>
          <w:rFonts w:asciiTheme="majorHAnsi" w:hAnsiTheme="majorHAnsi"/>
          <w:bCs/>
          <w:sz w:val="22"/>
          <w:szCs w:val="22"/>
        </w:rPr>
        <w:t>im</w:t>
      </w:r>
      <w:r w:rsidR="008A668C">
        <w:rPr>
          <w:rFonts w:asciiTheme="majorHAnsi" w:hAnsiTheme="majorHAnsi"/>
          <w:bCs/>
          <w:sz w:val="22"/>
          <w:szCs w:val="22"/>
        </w:rPr>
        <w:t>a</w:t>
      </w:r>
      <w:r w:rsidR="00EF4D6F">
        <w:rPr>
          <w:rFonts w:asciiTheme="majorHAnsi" w:hAnsiTheme="majorHAnsi"/>
          <w:bCs/>
          <w:sz w:val="22"/>
          <w:szCs w:val="22"/>
        </w:rPr>
        <w:t xml:space="preserve"> </w:t>
      </w:r>
      <w:r w:rsidR="001B4C8F">
        <w:rPr>
          <w:rFonts w:asciiTheme="majorHAnsi" w:hAnsiTheme="majorHAnsi"/>
          <w:bCs/>
          <w:sz w:val="22"/>
          <w:szCs w:val="22"/>
        </w:rPr>
        <w:t>D</w:t>
      </w:r>
      <w:r w:rsidR="00EF4D6F">
        <w:rPr>
          <w:rFonts w:asciiTheme="majorHAnsi" w:hAnsiTheme="majorHAnsi"/>
          <w:bCs/>
          <w:sz w:val="22"/>
          <w:szCs w:val="22"/>
        </w:rPr>
        <w:t>ruštvo raspolaže.</w:t>
      </w:r>
    </w:p>
    <w:p w:rsidR="00AC4BEA" w:rsidRDefault="00EF4D6F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AC4BEA">
        <w:rPr>
          <w:rFonts w:asciiTheme="majorHAnsi" w:hAnsiTheme="majorHAnsi"/>
          <w:bCs/>
          <w:sz w:val="22"/>
          <w:szCs w:val="22"/>
        </w:rPr>
        <w:t>Vrednovanje akcija se vrši svođenjem na prosječnu berzansku cijenu na dan 31.12.2015.g. a po</w:t>
      </w:r>
    </w:p>
    <w:p w:rsidR="00AC4BEA" w:rsidRDefault="00AC4BEA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izvještaju odnosno kursnoj listi Banjalučke berze.</w:t>
      </w:r>
    </w:p>
    <w:p w:rsidR="00744C9F" w:rsidRDefault="00744C9F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Klasifikacija akcija u skladu sa MRS-39 se vrši kao finansijsk</w:t>
      </w:r>
      <w:r w:rsidR="00E60C5D">
        <w:rPr>
          <w:rFonts w:asciiTheme="majorHAnsi" w:hAnsiTheme="majorHAnsi"/>
          <w:bCs/>
          <w:sz w:val="22"/>
          <w:szCs w:val="22"/>
        </w:rPr>
        <w:t>o</w:t>
      </w:r>
      <w:r>
        <w:rPr>
          <w:rFonts w:asciiTheme="majorHAnsi" w:hAnsiTheme="majorHAnsi"/>
          <w:bCs/>
          <w:sz w:val="22"/>
          <w:szCs w:val="22"/>
        </w:rPr>
        <w:t xml:space="preserve"> sredsv</w:t>
      </w:r>
      <w:r w:rsidR="00E60C5D">
        <w:rPr>
          <w:rFonts w:asciiTheme="majorHAnsi" w:hAnsiTheme="majorHAnsi"/>
          <w:bCs/>
          <w:sz w:val="22"/>
          <w:szCs w:val="22"/>
        </w:rPr>
        <w:t xml:space="preserve">o </w:t>
      </w:r>
      <w:r w:rsidR="000748E8">
        <w:rPr>
          <w:rFonts w:asciiTheme="majorHAnsi" w:hAnsiTheme="majorHAnsi"/>
          <w:bCs/>
          <w:sz w:val="22"/>
          <w:szCs w:val="22"/>
        </w:rPr>
        <w:t>po fer vrijednost</w:t>
      </w:r>
      <w:r w:rsidR="00E60C5D">
        <w:rPr>
          <w:rFonts w:asciiTheme="majorHAnsi" w:hAnsiTheme="majorHAnsi"/>
          <w:bCs/>
          <w:sz w:val="22"/>
          <w:szCs w:val="22"/>
        </w:rPr>
        <w:t>i</w:t>
      </w:r>
      <w:r>
        <w:rPr>
          <w:rFonts w:asciiTheme="majorHAnsi" w:hAnsiTheme="majorHAnsi"/>
          <w:bCs/>
          <w:sz w:val="22"/>
          <w:szCs w:val="22"/>
        </w:rPr>
        <w:t xml:space="preserve"> namjenjena trgovanju</w:t>
      </w:r>
      <w:r w:rsidR="008A668C">
        <w:rPr>
          <w:rFonts w:asciiTheme="majorHAnsi" w:hAnsiTheme="majorHAnsi"/>
          <w:bCs/>
          <w:sz w:val="22"/>
          <w:szCs w:val="22"/>
        </w:rPr>
        <w:t>,kroz bilans uspjeha.</w:t>
      </w:r>
    </w:p>
    <w:p w:rsidR="00AC4BEA" w:rsidRDefault="0032648F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AC4BEA">
        <w:rPr>
          <w:rFonts w:asciiTheme="majorHAnsi" w:hAnsiTheme="majorHAnsi"/>
          <w:bCs/>
          <w:sz w:val="22"/>
          <w:szCs w:val="22"/>
        </w:rPr>
        <w:t>U odnosu  na  početno stanje smanjena je vrijednost akcija u iznosu od 4.171,47KM,što je teretilo</w:t>
      </w:r>
    </w:p>
    <w:p w:rsidR="00AC4BEA" w:rsidRDefault="00AC4BEA" w:rsidP="003F6193">
      <w:pPr>
        <w:spacing w:line="276" w:lineRule="auto"/>
        <w:ind w:right="333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ostale rashode perioda</w:t>
      </w:r>
      <w:r w:rsidR="00744C9F">
        <w:rPr>
          <w:rFonts w:asciiTheme="majorHAnsi" w:hAnsiTheme="majorHAnsi"/>
          <w:bCs/>
          <w:sz w:val="22"/>
          <w:szCs w:val="22"/>
        </w:rPr>
        <w:t>,odnosno sve promjene se efektuju preko bilansa uspjeha.</w:t>
      </w:r>
    </w:p>
    <w:p w:rsidR="00AC4BEA" w:rsidRDefault="00542893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AC4BEA">
        <w:rPr>
          <w:rFonts w:asciiTheme="majorHAnsi" w:hAnsiTheme="majorHAnsi"/>
          <w:bCs/>
          <w:sz w:val="22"/>
          <w:szCs w:val="22"/>
        </w:rPr>
        <w:t>Navedena sredstva služe za pokriće tehničkih rezervi Društva a</w:t>
      </w:r>
      <w:r w:rsidR="00482226">
        <w:rPr>
          <w:rFonts w:asciiTheme="majorHAnsi" w:hAnsiTheme="majorHAnsi"/>
          <w:bCs/>
          <w:sz w:val="22"/>
          <w:szCs w:val="22"/>
        </w:rPr>
        <w:t xml:space="preserve"> </w:t>
      </w:r>
      <w:r w:rsidR="00AC4BEA">
        <w:rPr>
          <w:rFonts w:asciiTheme="majorHAnsi" w:hAnsiTheme="majorHAnsi"/>
          <w:bCs/>
          <w:sz w:val="22"/>
          <w:szCs w:val="22"/>
        </w:rPr>
        <w:t xml:space="preserve">u skladu sa Pravilnikom </w:t>
      </w:r>
      <w:r w:rsidR="00482226">
        <w:rPr>
          <w:rFonts w:asciiTheme="majorHAnsi" w:hAnsiTheme="majorHAnsi"/>
          <w:bCs/>
          <w:sz w:val="22"/>
          <w:szCs w:val="22"/>
        </w:rPr>
        <w:t>o ulaganju sredstava duštava za osiguranje.</w:t>
      </w:r>
    </w:p>
    <w:p w:rsidR="00663A17" w:rsidRDefault="00663A17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663A17" w:rsidRDefault="00663A17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663A17">
        <w:rPr>
          <w:rFonts w:asciiTheme="majorHAnsi" w:hAnsiTheme="majorHAnsi"/>
          <w:b/>
          <w:bCs/>
          <w:sz w:val="22"/>
          <w:szCs w:val="22"/>
          <w:u w:val="single"/>
        </w:rPr>
        <w:t>NOTA 15(AOP055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663A17" w:rsidRDefault="00663A17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663A17">
        <w:rPr>
          <w:rFonts w:asciiTheme="majorHAnsi" w:hAnsiTheme="majorHAnsi"/>
          <w:b/>
          <w:bCs/>
          <w:sz w:val="22"/>
          <w:szCs w:val="22"/>
        </w:rPr>
        <w:t>Gotovina</w:t>
      </w:r>
    </w:p>
    <w:tbl>
      <w:tblPr>
        <w:tblW w:w="9295" w:type="dxa"/>
        <w:tblInd w:w="93" w:type="dxa"/>
        <w:tblLook w:val="04A0"/>
      </w:tblPr>
      <w:tblGrid>
        <w:gridCol w:w="3152"/>
        <w:gridCol w:w="296"/>
        <w:gridCol w:w="775"/>
        <w:gridCol w:w="263"/>
        <w:gridCol w:w="1726"/>
        <w:gridCol w:w="1127"/>
        <w:gridCol w:w="1956"/>
      </w:tblGrid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Redovan račun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810B9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 xml:space="preserve">Devizni </w:t>
            </w:r>
            <w:r w:rsidR="00810B91" w:rsidRPr="00B670BE">
              <w:rPr>
                <w:rFonts w:ascii="Cambria" w:hAnsi="Cambria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Ukupno</w:t>
            </w:r>
          </w:p>
        </w:tc>
      </w:tr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Nova banka ad Bijeljina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1866D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580.</w:t>
            </w:r>
            <w:r w:rsidR="001866D6">
              <w:rPr>
                <w:rFonts w:ascii="Cambria" w:hAnsi="Cambria"/>
                <w:color w:val="000000"/>
                <w:sz w:val="20"/>
                <w:szCs w:val="20"/>
              </w:rPr>
              <w:t>959,54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10.924,09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1866D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591.8</w:t>
            </w:r>
            <w:r w:rsidR="001866D6">
              <w:rPr>
                <w:rFonts w:ascii="Cambria" w:hAnsi="Cambria"/>
                <w:color w:val="000000"/>
                <w:sz w:val="20"/>
                <w:szCs w:val="20"/>
              </w:rPr>
              <w:t>83,63</w:t>
            </w:r>
          </w:p>
        </w:tc>
      </w:tr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Sberbank ad B.Luka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71.618,25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11.233,72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82.851,97</w:t>
            </w:r>
          </w:p>
        </w:tc>
      </w:tr>
      <w:tr w:rsidR="00EF4201" w:rsidRPr="00EF4201" w:rsidTr="00D66054">
        <w:trPr>
          <w:trHeight w:val="305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Razvojna Banka ad B.Luka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1.237,47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1.237,47</w:t>
            </w:r>
          </w:p>
        </w:tc>
      </w:tr>
      <w:tr w:rsidR="00FB0E5B" w:rsidRPr="00EF4201" w:rsidTr="00D66054">
        <w:trPr>
          <w:trHeight w:val="305"/>
        </w:trPr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5B" w:rsidRPr="00B670BE" w:rsidRDefault="00FB0E5B" w:rsidP="00D6605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Pavlović Int.bank ad Bijelji</w:t>
            </w:r>
            <w:r w:rsidR="00D66054">
              <w:rPr>
                <w:rFonts w:ascii="Cambria" w:hAnsi="Cambria"/>
                <w:color w:val="000000"/>
                <w:sz w:val="20"/>
                <w:szCs w:val="20"/>
              </w:rPr>
              <w:t>na</w:t>
            </w: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5B" w:rsidRPr="00B670BE" w:rsidRDefault="00FB0E5B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43.588,53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5B" w:rsidRPr="00B670BE" w:rsidRDefault="00FB0E5B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5B" w:rsidRPr="00B670BE" w:rsidRDefault="00FB0E5B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43.593,09</w:t>
            </w:r>
          </w:p>
        </w:tc>
      </w:tr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Hipo banka B.Luka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1866D6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1866D6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280,41</w:t>
            </w:r>
          </w:p>
        </w:tc>
      </w:tr>
      <w:tr w:rsidR="00EF4201" w:rsidRPr="00EF4201" w:rsidTr="00D66054">
        <w:trPr>
          <w:trHeight w:val="291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Komercijalna Banka B.Luka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1866D6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67.540,60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1866D6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67.540,60</w:t>
            </w:r>
          </w:p>
        </w:tc>
      </w:tr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Banka srpske ad B.Luka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1866D6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1866D6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</w:tr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Uni credit bank Mostar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4.962,10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4.962,10</w:t>
            </w:r>
          </w:p>
        </w:tc>
      </w:tr>
      <w:tr w:rsidR="00EF4201" w:rsidRPr="00EF4201" w:rsidTr="00D66054">
        <w:trPr>
          <w:trHeight w:val="291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Mf Banka ad B.Luka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49.342,24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 xml:space="preserve"> 21.022,81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70.365,05</w:t>
            </w:r>
          </w:p>
        </w:tc>
      </w:tr>
      <w:tr w:rsidR="00EF4201" w:rsidRPr="00EF4201" w:rsidTr="00D66054">
        <w:trPr>
          <w:trHeight w:val="291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Uni credit bank ad B.Luka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39.631,46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39. 652,45</w:t>
            </w:r>
          </w:p>
        </w:tc>
      </w:tr>
      <w:tr w:rsidR="00EF4201" w:rsidRPr="00EF4201" w:rsidTr="00D66054">
        <w:trPr>
          <w:trHeight w:val="29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Blagajna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9302F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11,08</w:t>
            </w:r>
          </w:p>
        </w:tc>
      </w:tr>
      <w:tr w:rsidR="00EF4201" w:rsidRPr="00EF4201" w:rsidTr="00D66054">
        <w:trPr>
          <w:trHeight w:val="29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EF4201" w:rsidP="00EF42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DF0CA6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859.171,68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29302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43.206,17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01" w:rsidRPr="00B670BE" w:rsidRDefault="0029302F" w:rsidP="00810B91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902.</w:t>
            </w:r>
            <w:r w:rsidR="00810B91" w:rsidRPr="00B670BE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B670BE">
              <w:rPr>
                <w:rFonts w:ascii="Cambria" w:hAnsi="Cambria"/>
                <w:color w:val="000000"/>
                <w:sz w:val="20"/>
                <w:szCs w:val="20"/>
              </w:rPr>
              <w:t>77,85</w:t>
            </w:r>
          </w:p>
        </w:tc>
      </w:tr>
    </w:tbl>
    <w:p w:rsidR="00EF4201" w:rsidRDefault="00EF4201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10B91" w:rsidRDefault="00F27BD5" w:rsidP="00F27BD5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BA760E" w:rsidRPr="00BA760E">
        <w:rPr>
          <w:rFonts w:asciiTheme="majorHAnsi" w:hAnsiTheme="majorHAnsi"/>
          <w:bCs/>
          <w:sz w:val="22"/>
          <w:szCs w:val="22"/>
        </w:rPr>
        <w:t xml:space="preserve">Svoje </w:t>
      </w:r>
      <w:r w:rsidR="00BA760E">
        <w:rPr>
          <w:rFonts w:asciiTheme="majorHAnsi" w:hAnsiTheme="majorHAnsi"/>
          <w:bCs/>
          <w:sz w:val="22"/>
          <w:szCs w:val="22"/>
        </w:rPr>
        <w:t>poslovne aktivnosti Društvo o</w:t>
      </w:r>
      <w:r>
        <w:rPr>
          <w:rFonts w:asciiTheme="majorHAnsi" w:hAnsiTheme="majorHAnsi"/>
          <w:bCs/>
          <w:sz w:val="22"/>
          <w:szCs w:val="22"/>
        </w:rPr>
        <w:t>bavlja preko 10 poslovnih banaka.</w:t>
      </w:r>
      <w:r w:rsidR="0032648F">
        <w:rPr>
          <w:rFonts w:asciiTheme="majorHAnsi" w:hAnsiTheme="majorHAnsi"/>
          <w:bCs/>
          <w:sz w:val="22"/>
          <w:szCs w:val="22"/>
        </w:rPr>
        <w:t xml:space="preserve"> </w:t>
      </w:r>
      <w:r w:rsidR="00810B91" w:rsidRPr="00810B91">
        <w:rPr>
          <w:rFonts w:asciiTheme="majorHAnsi" w:hAnsiTheme="majorHAnsi"/>
          <w:bCs/>
          <w:sz w:val="22"/>
          <w:szCs w:val="22"/>
        </w:rPr>
        <w:t>No</w:t>
      </w:r>
      <w:r w:rsidR="00810B91">
        <w:rPr>
          <w:rFonts w:asciiTheme="majorHAnsi" w:hAnsiTheme="majorHAnsi"/>
          <w:bCs/>
          <w:sz w:val="22"/>
          <w:szCs w:val="22"/>
        </w:rPr>
        <w:t xml:space="preserve">včana sredstva koja se vode </w:t>
      </w:r>
      <w:r w:rsidR="0032648F">
        <w:rPr>
          <w:rFonts w:asciiTheme="majorHAnsi" w:hAnsiTheme="majorHAnsi"/>
          <w:bCs/>
          <w:sz w:val="22"/>
          <w:szCs w:val="22"/>
        </w:rPr>
        <w:t>na</w:t>
      </w:r>
      <w:r w:rsidR="00810B91">
        <w:rPr>
          <w:rFonts w:asciiTheme="majorHAnsi" w:hAnsiTheme="majorHAnsi"/>
          <w:bCs/>
          <w:sz w:val="22"/>
          <w:szCs w:val="22"/>
        </w:rPr>
        <w:t xml:space="preserve"> računima poslovnih banaka služe za pokriće tehničkih rezervi Društva u visini od 10%, u skladu sa Pravilnikom o ulaganjima sredstava društava za osiguranje.</w:t>
      </w:r>
    </w:p>
    <w:p w:rsidR="00F27BD5" w:rsidRDefault="00F27BD5" w:rsidP="00F27BD5">
      <w:pPr>
        <w:jc w:val="both"/>
        <w:rPr>
          <w:rFonts w:asciiTheme="majorHAnsi" w:hAnsiTheme="majorHAnsi"/>
          <w:bCs/>
          <w:sz w:val="22"/>
          <w:szCs w:val="22"/>
        </w:rPr>
      </w:pPr>
    </w:p>
    <w:p w:rsidR="000F5B3F" w:rsidRPr="00F27BD5" w:rsidRDefault="00F27BD5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27BD5">
        <w:rPr>
          <w:rFonts w:asciiTheme="majorHAnsi" w:hAnsiTheme="majorHAnsi"/>
          <w:bCs/>
          <w:sz w:val="22"/>
          <w:szCs w:val="22"/>
        </w:rPr>
        <w:t xml:space="preserve">Stanje </w:t>
      </w:r>
      <w:r w:rsidR="00A93D32">
        <w:rPr>
          <w:rFonts w:asciiTheme="majorHAnsi" w:hAnsiTheme="majorHAnsi"/>
          <w:bCs/>
          <w:sz w:val="22"/>
          <w:szCs w:val="22"/>
        </w:rPr>
        <w:t xml:space="preserve">sredstava u blagajni je određeno </w:t>
      </w:r>
      <w:r w:rsidRPr="00F27BD5">
        <w:rPr>
          <w:rFonts w:asciiTheme="majorHAnsi" w:hAnsiTheme="majorHAnsi"/>
          <w:bCs/>
          <w:sz w:val="22"/>
          <w:szCs w:val="22"/>
        </w:rPr>
        <w:t>blagajničkim maksimumom</w:t>
      </w:r>
      <w:r w:rsidRPr="00F27BD5">
        <w:rPr>
          <w:rFonts w:asciiTheme="majorHAnsi" w:hAnsiTheme="majorHAnsi"/>
          <w:b/>
          <w:bCs/>
          <w:sz w:val="22"/>
          <w:szCs w:val="22"/>
        </w:rPr>
        <w:t>.</w:t>
      </w:r>
    </w:p>
    <w:p w:rsidR="000F5B3F" w:rsidRPr="00F27BD5" w:rsidRDefault="00F27BD5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27BD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D678B1" w:rsidRPr="00D25EDB" w:rsidRDefault="00D678B1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25EDB">
        <w:rPr>
          <w:rFonts w:asciiTheme="majorHAnsi" w:hAnsiTheme="majorHAnsi"/>
          <w:b/>
          <w:bCs/>
          <w:sz w:val="22"/>
          <w:szCs w:val="22"/>
          <w:u w:val="single"/>
        </w:rPr>
        <w:t>NOTA 16(AOP059</w:t>
      </w:r>
      <w:r w:rsidRPr="00D25EDB">
        <w:rPr>
          <w:rFonts w:asciiTheme="majorHAnsi" w:hAnsiTheme="majorHAnsi"/>
          <w:b/>
          <w:bCs/>
          <w:sz w:val="22"/>
          <w:szCs w:val="22"/>
        </w:rPr>
        <w:t>)</w:t>
      </w:r>
    </w:p>
    <w:p w:rsidR="00D25EDB" w:rsidRDefault="00D25ED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25EDB">
        <w:rPr>
          <w:rFonts w:asciiTheme="majorHAnsi" w:hAnsiTheme="majorHAnsi"/>
          <w:b/>
          <w:bCs/>
          <w:sz w:val="22"/>
          <w:szCs w:val="22"/>
        </w:rPr>
        <w:t>AVR</w:t>
      </w:r>
    </w:p>
    <w:p w:rsidR="00D25EDB" w:rsidRDefault="00D25EDB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25EDB" w:rsidRDefault="005A5FC2" w:rsidP="00706496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D25EDB" w:rsidRPr="00D25EDB">
        <w:rPr>
          <w:rFonts w:asciiTheme="majorHAnsi" w:hAnsiTheme="majorHAnsi"/>
          <w:bCs/>
          <w:sz w:val="22"/>
          <w:szCs w:val="22"/>
        </w:rPr>
        <w:t xml:space="preserve">Na aktivnim vremenskim razgraničenjima </w:t>
      </w:r>
      <w:r w:rsidR="00D25EDB">
        <w:rPr>
          <w:rFonts w:asciiTheme="majorHAnsi" w:hAnsiTheme="majorHAnsi"/>
          <w:bCs/>
          <w:sz w:val="22"/>
          <w:szCs w:val="22"/>
        </w:rPr>
        <w:t>u iznosu od 365.157</w:t>
      </w:r>
      <w:r w:rsidR="004B09A4">
        <w:rPr>
          <w:rFonts w:asciiTheme="majorHAnsi" w:hAnsiTheme="majorHAnsi"/>
          <w:bCs/>
          <w:sz w:val="22"/>
          <w:szCs w:val="22"/>
        </w:rPr>
        <w:t>,88</w:t>
      </w:r>
      <w:r w:rsidR="00D25EDB">
        <w:rPr>
          <w:rFonts w:asciiTheme="majorHAnsi" w:hAnsiTheme="majorHAnsi"/>
          <w:bCs/>
          <w:sz w:val="22"/>
          <w:szCs w:val="22"/>
        </w:rPr>
        <w:t>KM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D25EDB" w:rsidRPr="00D25EDB">
        <w:rPr>
          <w:rFonts w:asciiTheme="majorHAnsi" w:hAnsiTheme="majorHAnsi"/>
          <w:bCs/>
          <w:sz w:val="22"/>
          <w:szCs w:val="22"/>
        </w:rPr>
        <w:t>Društvo vodi</w:t>
      </w:r>
      <w:r w:rsidR="00D25EDB">
        <w:rPr>
          <w:rFonts w:asciiTheme="majorHAnsi" w:hAnsiTheme="majorHAnsi"/>
          <w:bCs/>
          <w:sz w:val="22"/>
          <w:szCs w:val="22"/>
        </w:rPr>
        <w:t>:</w:t>
      </w:r>
    </w:p>
    <w:p w:rsidR="00D25EDB" w:rsidRDefault="00D25EDB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D25EDB" w:rsidRPr="00855038" w:rsidRDefault="00D25EDB" w:rsidP="003F6193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1.Kamate na </w:t>
      </w:r>
      <w:r w:rsidRPr="00ED0A52">
        <w:rPr>
          <w:rFonts w:asciiTheme="majorHAnsi" w:hAnsiTheme="majorHAnsi"/>
          <w:bCs/>
          <w:sz w:val="22"/>
          <w:szCs w:val="22"/>
        </w:rPr>
        <w:t>depozitima</w:t>
      </w:r>
      <w:r>
        <w:rPr>
          <w:rFonts w:asciiTheme="majorHAnsi" w:hAnsiTheme="majorHAnsi"/>
          <w:bCs/>
          <w:sz w:val="22"/>
          <w:szCs w:val="22"/>
        </w:rPr>
        <w:t xml:space="preserve"> u iznosu od 317.480,</w:t>
      </w:r>
      <w:r w:rsidR="00E72091">
        <w:rPr>
          <w:rFonts w:asciiTheme="majorHAnsi" w:hAnsiTheme="majorHAnsi"/>
          <w:bCs/>
          <w:sz w:val="22"/>
          <w:szCs w:val="22"/>
        </w:rPr>
        <w:t>81</w:t>
      </w:r>
      <w:r>
        <w:rPr>
          <w:rFonts w:asciiTheme="majorHAnsi" w:hAnsiTheme="majorHAnsi"/>
          <w:bCs/>
          <w:sz w:val="22"/>
          <w:szCs w:val="22"/>
        </w:rPr>
        <w:t xml:space="preserve">KM </w:t>
      </w:r>
      <w:r w:rsidR="00E72091">
        <w:rPr>
          <w:rFonts w:asciiTheme="majorHAnsi" w:hAnsiTheme="majorHAnsi"/>
          <w:bCs/>
          <w:sz w:val="22"/>
          <w:szCs w:val="22"/>
        </w:rPr>
        <w:t xml:space="preserve">knjižene </w:t>
      </w:r>
      <w:r>
        <w:rPr>
          <w:rFonts w:asciiTheme="majorHAnsi" w:hAnsiTheme="majorHAnsi"/>
          <w:bCs/>
          <w:sz w:val="22"/>
          <w:szCs w:val="22"/>
        </w:rPr>
        <w:t xml:space="preserve">po načelu uzročnosti nastanka prihoda,odnosno one kamate koje su knjižene u prihodima a nisu prenijete na račun dok traje ugovor o </w:t>
      </w:r>
      <w:r w:rsidR="00855038">
        <w:rPr>
          <w:rFonts w:asciiTheme="majorHAnsi" w:hAnsiTheme="majorHAnsi"/>
          <w:bCs/>
          <w:sz w:val="22"/>
          <w:szCs w:val="22"/>
        </w:rPr>
        <w:t>deponovanju.</w:t>
      </w:r>
    </w:p>
    <w:p w:rsidR="00E72091" w:rsidRDefault="00E72091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2.Razgraničeni troškovi reosiguranja po osnovu prenosne premije u iznosu od 47.612,27KM</w:t>
      </w:r>
    </w:p>
    <w:p w:rsidR="00E72091" w:rsidRDefault="00E72091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3.Unapred plaćen račun u iznosu od 64,80 KM.</w:t>
      </w:r>
    </w:p>
    <w:p w:rsidR="00D11B13" w:rsidRDefault="00D11B13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ED0A52" w:rsidRDefault="00ED0A52" w:rsidP="00706496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D0A52" w:rsidRPr="00ED0A52" w:rsidRDefault="00ED0A52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D0A52">
        <w:rPr>
          <w:rFonts w:asciiTheme="majorHAnsi" w:hAnsiTheme="majorHAnsi"/>
          <w:b/>
          <w:bCs/>
          <w:sz w:val="22"/>
          <w:szCs w:val="22"/>
          <w:u w:val="single"/>
        </w:rPr>
        <w:t>NOTA 17(AOP 102)</w:t>
      </w:r>
    </w:p>
    <w:p w:rsidR="00ED0A52" w:rsidRPr="00ED0A52" w:rsidRDefault="00ED0A52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ED0A52">
        <w:rPr>
          <w:rFonts w:asciiTheme="majorHAnsi" w:hAnsiTheme="majorHAnsi"/>
          <w:b/>
          <w:bCs/>
          <w:sz w:val="22"/>
          <w:szCs w:val="22"/>
        </w:rPr>
        <w:t>Akcijski kapital</w:t>
      </w:r>
    </w:p>
    <w:p w:rsidR="00ED0A52" w:rsidRDefault="00ED0A52" w:rsidP="00706496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1016"/>
        <w:gridCol w:w="1206"/>
        <w:gridCol w:w="929"/>
        <w:gridCol w:w="930"/>
        <w:gridCol w:w="1404"/>
        <w:gridCol w:w="1206"/>
        <w:gridCol w:w="1109"/>
        <w:gridCol w:w="1444"/>
      </w:tblGrid>
      <w:tr w:rsidR="00ED0A52" w:rsidRPr="00ED0A52" w:rsidTr="00747ABC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Akcionar</w:t>
            </w:r>
            <w:r w:rsidR="00CF2886"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717121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Vrijednost ak</w:t>
            </w:r>
            <w:r w:rsidR="00717121"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cija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ED0A52" w:rsidRPr="00ED0A52" w:rsidTr="00747ABC">
        <w:trPr>
          <w:trHeight w:val="29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sz w:val="20"/>
                <w:szCs w:val="20"/>
              </w:rPr>
              <w:t>4430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8.860.000,00</w:t>
            </w:r>
          </w:p>
        </w:tc>
      </w:tr>
      <w:tr w:rsidR="00ED0A52" w:rsidRPr="00ED0A52" w:rsidTr="00747ABC">
        <w:trPr>
          <w:trHeight w:val="29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sz w:val="20"/>
                <w:szCs w:val="20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4C6115" w:rsidRDefault="00ED0A52" w:rsidP="00ED0A52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4C611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140.000,00</w:t>
            </w:r>
          </w:p>
        </w:tc>
      </w:tr>
      <w:tr w:rsidR="00ED0A52" w:rsidRPr="00ED0A52" w:rsidTr="00747ABC">
        <w:trPr>
          <w:trHeight w:val="2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rPr>
                <w:rFonts w:asciiTheme="majorHAnsi" w:hAnsiTheme="majorHAnsi"/>
                <w:iCs/>
                <w:color w:val="000000"/>
              </w:rPr>
            </w:pPr>
            <w:r w:rsidRPr="00ED0A52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rPr>
                <w:rFonts w:asciiTheme="majorHAnsi" w:hAnsiTheme="majorHAnsi"/>
                <w:i/>
                <w:iCs/>
                <w:color w:val="000000"/>
              </w:rPr>
            </w:pPr>
            <w:r w:rsidRPr="00ED0A52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rPr>
                <w:i/>
                <w:iCs/>
                <w:color w:val="000000"/>
              </w:rPr>
            </w:pPr>
            <w:r w:rsidRPr="00ED0A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rPr>
                <w:i/>
                <w:iCs/>
                <w:color w:val="000000"/>
              </w:rPr>
            </w:pPr>
            <w:r w:rsidRPr="00ED0A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ED0A52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ED0A52">
              <w:rPr>
                <w:rFonts w:asciiTheme="majorHAnsi" w:hAnsiTheme="majorHAnsi"/>
                <w:iCs/>
                <w:sz w:val="20"/>
                <w:szCs w:val="20"/>
              </w:rPr>
              <w:t>4</w:t>
            </w:r>
            <w:r w:rsidRPr="00717121">
              <w:rPr>
                <w:rFonts w:asciiTheme="majorHAnsi" w:hAnsiTheme="majorHAnsi"/>
                <w:iCs/>
                <w:sz w:val="20"/>
                <w:szCs w:val="20"/>
              </w:rPr>
              <w:t>5</w:t>
            </w:r>
            <w:r w:rsidRPr="00ED0A52">
              <w:rPr>
                <w:rFonts w:asciiTheme="majorHAnsi" w:hAnsiTheme="majorHAnsi"/>
                <w:i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ED0A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52" w:rsidRPr="00ED0A52" w:rsidRDefault="00ED0A52" w:rsidP="00ED0A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17121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</w:t>
            </w:r>
            <w:r w:rsidRPr="00ED0A5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:rsidR="00ED0A52" w:rsidRDefault="00ED0A52" w:rsidP="00706496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84828" w:rsidRDefault="0032648F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584828" w:rsidRPr="00584828">
        <w:rPr>
          <w:rFonts w:asciiTheme="majorHAnsi" w:hAnsiTheme="majorHAnsi"/>
          <w:bCs/>
          <w:sz w:val="22"/>
          <w:szCs w:val="22"/>
        </w:rPr>
        <w:t>Iz</w:t>
      </w:r>
      <w:r w:rsidR="00584828">
        <w:rPr>
          <w:rFonts w:asciiTheme="majorHAnsi" w:hAnsiTheme="majorHAnsi"/>
          <w:bCs/>
          <w:sz w:val="22"/>
          <w:szCs w:val="22"/>
        </w:rPr>
        <w:t xml:space="preserve"> centralnog registra </w:t>
      </w:r>
      <w:r w:rsidR="00717121">
        <w:rPr>
          <w:rFonts w:asciiTheme="majorHAnsi" w:hAnsiTheme="majorHAnsi"/>
          <w:bCs/>
          <w:sz w:val="22"/>
          <w:szCs w:val="22"/>
        </w:rPr>
        <w:t xml:space="preserve"> HOV </w:t>
      </w:r>
      <w:r w:rsidR="00584828">
        <w:rPr>
          <w:rFonts w:asciiTheme="majorHAnsi" w:hAnsiTheme="majorHAnsi"/>
          <w:bCs/>
          <w:sz w:val="22"/>
          <w:szCs w:val="22"/>
        </w:rPr>
        <w:t xml:space="preserve">je dostavljena knjiga  akcionara </w:t>
      </w:r>
      <w:r w:rsidR="00717121">
        <w:rPr>
          <w:rFonts w:asciiTheme="majorHAnsi" w:hAnsiTheme="majorHAnsi"/>
          <w:bCs/>
          <w:sz w:val="22"/>
          <w:szCs w:val="22"/>
        </w:rPr>
        <w:t>na dan 31.12.2015.g.koja potvrđuje navedeno stanje.</w:t>
      </w:r>
    </w:p>
    <w:p w:rsidR="00763A3B" w:rsidRDefault="00855038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763A3B">
        <w:rPr>
          <w:rFonts w:asciiTheme="majorHAnsi" w:hAnsiTheme="majorHAnsi"/>
          <w:bCs/>
          <w:sz w:val="22"/>
          <w:szCs w:val="22"/>
        </w:rPr>
        <w:t>Odlukom o raspodjeli dobiti iz 2014.g.je predviđeno povećanje osnovnog kapitala ,pa je osmom emisijom izvršeno pretvaranje neraspoređene dobiti u akcionarski kapital u iznosu od 1.000.000KM.</w:t>
      </w:r>
    </w:p>
    <w:p w:rsidR="00717121" w:rsidRDefault="00B100EB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717121">
        <w:rPr>
          <w:rFonts w:asciiTheme="majorHAnsi" w:hAnsiTheme="majorHAnsi"/>
          <w:bCs/>
          <w:sz w:val="22"/>
          <w:szCs w:val="22"/>
        </w:rPr>
        <w:t>Rezerve sigurnosti su</w:t>
      </w:r>
      <w:r w:rsidR="00763A3B">
        <w:rPr>
          <w:rFonts w:asciiTheme="majorHAnsi" w:hAnsiTheme="majorHAnsi"/>
          <w:bCs/>
          <w:sz w:val="22"/>
          <w:szCs w:val="22"/>
        </w:rPr>
        <w:t xml:space="preserve"> </w:t>
      </w:r>
      <w:r w:rsidR="00717121">
        <w:rPr>
          <w:rFonts w:asciiTheme="majorHAnsi" w:hAnsiTheme="majorHAnsi"/>
          <w:bCs/>
          <w:sz w:val="22"/>
          <w:szCs w:val="22"/>
        </w:rPr>
        <w:t>usklađene u iznosu od 100.000 KM,tako da sa 31.12.2015.g. iznose 900.000KM.</w:t>
      </w:r>
    </w:p>
    <w:p w:rsidR="004039F9" w:rsidRDefault="004039F9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4039F9" w:rsidRPr="00653817" w:rsidRDefault="004039F9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653817">
        <w:rPr>
          <w:rFonts w:asciiTheme="majorHAnsi" w:hAnsiTheme="majorHAnsi"/>
          <w:b/>
          <w:bCs/>
          <w:sz w:val="22"/>
          <w:szCs w:val="22"/>
          <w:u w:val="single"/>
        </w:rPr>
        <w:t>NOTA 18(AOP 117)</w:t>
      </w:r>
    </w:p>
    <w:p w:rsidR="004039F9" w:rsidRDefault="004039F9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4039F9">
        <w:rPr>
          <w:rFonts w:asciiTheme="majorHAnsi" w:hAnsiTheme="majorHAnsi"/>
          <w:b/>
          <w:bCs/>
          <w:sz w:val="22"/>
          <w:szCs w:val="22"/>
        </w:rPr>
        <w:t>Revalorizacione rezerve</w:t>
      </w:r>
    </w:p>
    <w:p w:rsidR="004039F9" w:rsidRDefault="004039F9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039F9" w:rsidRDefault="003B50F3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4039F9" w:rsidRPr="004039F9">
        <w:rPr>
          <w:rFonts w:asciiTheme="majorHAnsi" w:hAnsiTheme="majorHAnsi"/>
          <w:bCs/>
          <w:sz w:val="22"/>
          <w:szCs w:val="22"/>
        </w:rPr>
        <w:t xml:space="preserve"> Revalorizacione rezerve </w:t>
      </w:r>
      <w:r w:rsidR="004039F9">
        <w:rPr>
          <w:rFonts w:asciiTheme="majorHAnsi" w:hAnsiTheme="majorHAnsi"/>
          <w:bCs/>
          <w:sz w:val="22"/>
          <w:szCs w:val="22"/>
        </w:rPr>
        <w:t>D</w:t>
      </w:r>
      <w:r w:rsidR="004039F9" w:rsidRPr="004039F9">
        <w:rPr>
          <w:rFonts w:asciiTheme="majorHAnsi" w:hAnsiTheme="majorHAnsi"/>
          <w:bCs/>
          <w:sz w:val="22"/>
          <w:szCs w:val="22"/>
        </w:rPr>
        <w:t xml:space="preserve">ruštva su </w:t>
      </w:r>
      <w:r w:rsidR="004039F9">
        <w:rPr>
          <w:rFonts w:asciiTheme="majorHAnsi" w:hAnsiTheme="majorHAnsi"/>
          <w:bCs/>
          <w:sz w:val="22"/>
          <w:szCs w:val="22"/>
        </w:rPr>
        <w:t xml:space="preserve">nastale po osnovu građevinskih objekata u iznosu od 2.073.190,92KM.U odnosu na predhodnu godinu smanjene su za iznos od 52.567,2OKM,kao razlika </w:t>
      </w:r>
      <w:r w:rsidR="00D9251A">
        <w:rPr>
          <w:rFonts w:asciiTheme="majorHAnsi" w:hAnsiTheme="majorHAnsi"/>
          <w:bCs/>
          <w:sz w:val="22"/>
          <w:szCs w:val="22"/>
        </w:rPr>
        <w:t xml:space="preserve">između </w:t>
      </w:r>
      <w:r w:rsidR="004039F9">
        <w:rPr>
          <w:rFonts w:asciiTheme="majorHAnsi" w:hAnsiTheme="majorHAnsi"/>
          <w:bCs/>
          <w:sz w:val="22"/>
          <w:szCs w:val="22"/>
        </w:rPr>
        <w:t>amortizacija</w:t>
      </w:r>
      <w:r w:rsidR="00D9251A">
        <w:rPr>
          <w:rFonts w:asciiTheme="majorHAnsi" w:hAnsiTheme="majorHAnsi"/>
          <w:bCs/>
          <w:sz w:val="22"/>
          <w:szCs w:val="22"/>
        </w:rPr>
        <w:t xml:space="preserve"> obračunatih</w:t>
      </w:r>
      <w:r w:rsidR="004039F9">
        <w:rPr>
          <w:rFonts w:asciiTheme="majorHAnsi" w:hAnsiTheme="majorHAnsi"/>
          <w:bCs/>
          <w:sz w:val="22"/>
          <w:szCs w:val="22"/>
        </w:rPr>
        <w:t xml:space="preserve"> </w:t>
      </w:r>
      <w:r w:rsidR="001C4280">
        <w:rPr>
          <w:rFonts w:asciiTheme="majorHAnsi" w:hAnsiTheme="majorHAnsi"/>
          <w:bCs/>
          <w:sz w:val="22"/>
          <w:szCs w:val="22"/>
        </w:rPr>
        <w:t>po nabavnoj i revalorizovanoj vrijednosti.</w:t>
      </w:r>
    </w:p>
    <w:p w:rsidR="00653817" w:rsidRDefault="00653817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653817" w:rsidRDefault="00653817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653817">
        <w:rPr>
          <w:rFonts w:asciiTheme="majorHAnsi" w:hAnsiTheme="majorHAnsi"/>
          <w:b/>
          <w:bCs/>
          <w:sz w:val="22"/>
          <w:szCs w:val="22"/>
          <w:u w:val="single"/>
        </w:rPr>
        <w:t>NOTA 19(AOP 120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653817" w:rsidRDefault="00653817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653817">
        <w:rPr>
          <w:rFonts w:asciiTheme="majorHAnsi" w:hAnsiTheme="majorHAnsi"/>
          <w:b/>
          <w:bCs/>
          <w:sz w:val="22"/>
          <w:szCs w:val="22"/>
        </w:rPr>
        <w:t>Neraspoređena dobit</w:t>
      </w:r>
    </w:p>
    <w:p w:rsidR="00653817" w:rsidRDefault="00653817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53817" w:rsidRDefault="006E2D27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</w:t>
      </w:r>
      <w:r w:rsidR="00653817" w:rsidRPr="00653817">
        <w:rPr>
          <w:rFonts w:asciiTheme="majorHAnsi" w:hAnsiTheme="majorHAnsi"/>
          <w:bCs/>
          <w:sz w:val="22"/>
          <w:szCs w:val="22"/>
        </w:rPr>
        <w:t xml:space="preserve">Neraspoređene dobit Društva </w:t>
      </w:r>
      <w:r w:rsidR="005B1332">
        <w:rPr>
          <w:rFonts w:asciiTheme="majorHAnsi" w:hAnsiTheme="majorHAnsi"/>
          <w:bCs/>
          <w:sz w:val="22"/>
          <w:szCs w:val="22"/>
        </w:rPr>
        <w:t>u iznosu od 7.985.46</w:t>
      </w:r>
      <w:r w:rsidR="00AC1DDA">
        <w:rPr>
          <w:rFonts w:asciiTheme="majorHAnsi" w:hAnsiTheme="majorHAnsi"/>
          <w:bCs/>
          <w:sz w:val="22"/>
          <w:szCs w:val="22"/>
        </w:rPr>
        <w:t>7,18</w:t>
      </w:r>
      <w:r w:rsidR="00C812EF">
        <w:rPr>
          <w:rFonts w:asciiTheme="majorHAnsi" w:hAnsiTheme="majorHAnsi"/>
          <w:bCs/>
          <w:sz w:val="22"/>
          <w:szCs w:val="22"/>
        </w:rPr>
        <w:t xml:space="preserve"> </w:t>
      </w:r>
      <w:r w:rsidR="00653817">
        <w:rPr>
          <w:rFonts w:asciiTheme="majorHAnsi" w:hAnsiTheme="majorHAnsi"/>
          <w:bCs/>
          <w:sz w:val="22"/>
          <w:szCs w:val="22"/>
        </w:rPr>
        <w:t>se sastoji iz:</w:t>
      </w:r>
    </w:p>
    <w:p w:rsidR="00653817" w:rsidRDefault="00653817" w:rsidP="000F5B3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1.Neraspoređena dobit iz ranijih godina 230.579,57KM</w:t>
      </w:r>
    </w:p>
    <w:p w:rsidR="00653817" w:rsidRDefault="00653817" w:rsidP="000F5B3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2.Neraspoređena dobit kroz bilans stanja ,nastala ukidanjem rev</w:t>
      </w:r>
      <w:r w:rsidR="005F7195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 xml:space="preserve"> rezervi 52.567,20KM i</w:t>
      </w:r>
    </w:p>
    <w:p w:rsidR="00674D54" w:rsidRDefault="00653817" w:rsidP="000F5B3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3.Neraspoređena dobit ostvarena iz redovne djelatnosti u iznosu od </w:t>
      </w:r>
      <w:r w:rsidR="00C812EF">
        <w:rPr>
          <w:rFonts w:asciiTheme="majorHAnsi" w:hAnsiTheme="majorHAnsi"/>
          <w:bCs/>
          <w:sz w:val="22"/>
          <w:szCs w:val="22"/>
        </w:rPr>
        <w:t>7.702.320</w:t>
      </w:r>
      <w:r w:rsidR="00AC1DDA">
        <w:rPr>
          <w:rFonts w:asciiTheme="majorHAnsi" w:hAnsiTheme="majorHAnsi"/>
          <w:bCs/>
          <w:sz w:val="22"/>
          <w:szCs w:val="22"/>
        </w:rPr>
        <w:t>,41</w:t>
      </w:r>
      <w:r w:rsidR="00C812EF">
        <w:rPr>
          <w:rFonts w:asciiTheme="majorHAnsi" w:hAnsiTheme="majorHAnsi"/>
          <w:bCs/>
          <w:sz w:val="22"/>
          <w:szCs w:val="22"/>
        </w:rPr>
        <w:t>KM</w:t>
      </w:r>
      <w:r w:rsidR="00674D54">
        <w:rPr>
          <w:rFonts w:asciiTheme="majorHAnsi" w:hAnsiTheme="majorHAnsi"/>
          <w:bCs/>
          <w:sz w:val="22"/>
          <w:szCs w:val="22"/>
        </w:rPr>
        <w:t>.</w:t>
      </w:r>
    </w:p>
    <w:p w:rsidR="00674D54" w:rsidRDefault="00674D54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674D54" w:rsidRDefault="00674D54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674D54">
        <w:rPr>
          <w:rFonts w:asciiTheme="majorHAnsi" w:hAnsiTheme="majorHAnsi"/>
          <w:b/>
          <w:bCs/>
          <w:sz w:val="22"/>
          <w:szCs w:val="22"/>
          <w:u w:val="single"/>
        </w:rPr>
        <w:t>NOTA 20(AOP126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674D54" w:rsidRDefault="00674D54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674D54">
        <w:rPr>
          <w:rFonts w:asciiTheme="majorHAnsi" w:hAnsiTheme="majorHAnsi"/>
          <w:b/>
          <w:bCs/>
          <w:sz w:val="22"/>
          <w:szCs w:val="22"/>
        </w:rPr>
        <w:t>Primanja zaposlenih</w:t>
      </w:r>
    </w:p>
    <w:p w:rsidR="00674D54" w:rsidRDefault="00674D54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74D54" w:rsidRDefault="006E2D27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674D54" w:rsidRPr="00674D54">
        <w:rPr>
          <w:rFonts w:asciiTheme="majorHAnsi" w:hAnsiTheme="majorHAnsi"/>
          <w:bCs/>
          <w:sz w:val="22"/>
          <w:szCs w:val="22"/>
        </w:rPr>
        <w:t>Dugoročna rezervisanja po MRS 19 su</w:t>
      </w:r>
      <w:r w:rsidR="00674D54">
        <w:rPr>
          <w:rFonts w:asciiTheme="majorHAnsi" w:hAnsiTheme="majorHAnsi"/>
          <w:bCs/>
          <w:sz w:val="22"/>
          <w:szCs w:val="22"/>
        </w:rPr>
        <w:t xml:space="preserve"> </w:t>
      </w:r>
      <w:r w:rsidR="008232AF">
        <w:rPr>
          <w:rFonts w:asciiTheme="majorHAnsi" w:hAnsiTheme="majorHAnsi"/>
          <w:bCs/>
          <w:sz w:val="22"/>
          <w:szCs w:val="22"/>
        </w:rPr>
        <w:t xml:space="preserve">beneficije za </w:t>
      </w:r>
      <w:r w:rsidR="00674D54">
        <w:rPr>
          <w:rFonts w:asciiTheme="majorHAnsi" w:hAnsiTheme="majorHAnsi"/>
          <w:bCs/>
          <w:sz w:val="22"/>
          <w:szCs w:val="22"/>
        </w:rPr>
        <w:t xml:space="preserve"> </w:t>
      </w:r>
      <w:r w:rsidR="008232AF">
        <w:rPr>
          <w:rFonts w:asciiTheme="majorHAnsi" w:hAnsiTheme="majorHAnsi"/>
          <w:bCs/>
          <w:sz w:val="22"/>
          <w:szCs w:val="22"/>
        </w:rPr>
        <w:t xml:space="preserve">zaposlene i utvrđene su aktuarskom metodom u iznosu od 67.190,76KM.U odnosu na  predhodnu godinu </w:t>
      </w:r>
      <w:r w:rsidR="00674D54">
        <w:rPr>
          <w:rFonts w:asciiTheme="majorHAnsi" w:hAnsiTheme="majorHAnsi"/>
          <w:bCs/>
          <w:sz w:val="22"/>
          <w:szCs w:val="22"/>
        </w:rPr>
        <w:t xml:space="preserve"> </w:t>
      </w:r>
      <w:r w:rsidR="008232AF">
        <w:rPr>
          <w:rFonts w:asciiTheme="majorHAnsi" w:hAnsiTheme="majorHAnsi"/>
          <w:bCs/>
          <w:sz w:val="22"/>
          <w:szCs w:val="22"/>
        </w:rPr>
        <w:t>iznos je povećan za 8.040,26KM.</w:t>
      </w:r>
    </w:p>
    <w:p w:rsidR="008232AF" w:rsidRDefault="008232AF" w:rsidP="003F619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8232AF" w:rsidRDefault="008232AF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8232AF">
        <w:rPr>
          <w:rFonts w:asciiTheme="majorHAnsi" w:hAnsiTheme="majorHAnsi"/>
          <w:b/>
          <w:bCs/>
          <w:sz w:val="22"/>
          <w:szCs w:val="22"/>
          <w:u w:val="single"/>
        </w:rPr>
        <w:t>NOTA 21(</w:t>
      </w:r>
      <w:r w:rsidR="005F7195">
        <w:rPr>
          <w:rFonts w:asciiTheme="majorHAnsi" w:hAnsiTheme="majorHAnsi"/>
          <w:b/>
          <w:bCs/>
          <w:sz w:val="22"/>
          <w:szCs w:val="22"/>
          <w:u w:val="single"/>
        </w:rPr>
        <w:t>AOP 146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8232AF" w:rsidRDefault="008232AF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8232AF">
        <w:rPr>
          <w:rFonts w:asciiTheme="majorHAnsi" w:hAnsiTheme="majorHAnsi"/>
          <w:b/>
          <w:bCs/>
          <w:sz w:val="22"/>
          <w:szCs w:val="22"/>
        </w:rPr>
        <w:t xml:space="preserve">Kratkoročne </w:t>
      </w:r>
      <w:r w:rsidR="005F7195">
        <w:rPr>
          <w:rFonts w:asciiTheme="majorHAnsi" w:hAnsiTheme="majorHAnsi"/>
          <w:b/>
          <w:bCs/>
          <w:sz w:val="22"/>
          <w:szCs w:val="22"/>
        </w:rPr>
        <w:t xml:space="preserve"> finansijske </w:t>
      </w:r>
      <w:r w:rsidRPr="008232AF">
        <w:rPr>
          <w:rFonts w:asciiTheme="majorHAnsi" w:hAnsiTheme="majorHAnsi"/>
          <w:b/>
          <w:bCs/>
          <w:sz w:val="22"/>
          <w:szCs w:val="22"/>
        </w:rPr>
        <w:t>obaveze</w:t>
      </w:r>
      <w:r w:rsidR="005F7195">
        <w:rPr>
          <w:rFonts w:asciiTheme="majorHAnsi" w:hAnsiTheme="majorHAnsi"/>
          <w:b/>
          <w:bCs/>
          <w:sz w:val="22"/>
          <w:szCs w:val="22"/>
        </w:rPr>
        <w:t xml:space="preserve"> prema povezanom pravnom licu</w:t>
      </w:r>
    </w:p>
    <w:p w:rsidR="005F7195" w:rsidRDefault="005F7195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F7195" w:rsidRDefault="006E2D27" w:rsidP="000F5B3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</w:t>
      </w:r>
      <w:r w:rsidR="00B6109D">
        <w:rPr>
          <w:rFonts w:asciiTheme="majorHAnsi" w:hAnsiTheme="majorHAnsi"/>
          <w:bCs/>
          <w:sz w:val="22"/>
          <w:szCs w:val="22"/>
        </w:rPr>
        <w:t xml:space="preserve">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B6109D">
        <w:rPr>
          <w:rFonts w:asciiTheme="majorHAnsi" w:hAnsiTheme="majorHAnsi"/>
          <w:bCs/>
          <w:sz w:val="22"/>
          <w:szCs w:val="22"/>
        </w:rPr>
        <w:t xml:space="preserve">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5F7195">
        <w:rPr>
          <w:rFonts w:asciiTheme="majorHAnsi" w:hAnsiTheme="majorHAnsi"/>
          <w:bCs/>
          <w:sz w:val="22"/>
          <w:szCs w:val="22"/>
        </w:rPr>
        <w:t xml:space="preserve">Obavezu prema povezanom pravnom licu po osnovu kratkoročnih finansijskih obaveza </w:t>
      </w:r>
    </w:p>
    <w:p w:rsidR="000F01A0" w:rsidRPr="005F7195" w:rsidRDefault="00B6109D" w:rsidP="000F5B3F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predsavlja </w:t>
      </w:r>
      <w:r w:rsidR="000F01A0">
        <w:rPr>
          <w:rFonts w:asciiTheme="majorHAnsi" w:hAnsiTheme="majorHAnsi"/>
          <w:bCs/>
          <w:sz w:val="22"/>
          <w:szCs w:val="22"/>
        </w:rPr>
        <w:t xml:space="preserve">odobren kratkoročni zajam od matičnog pravnog lica Nešković doo,u </w:t>
      </w:r>
      <w:r>
        <w:rPr>
          <w:rFonts w:asciiTheme="majorHAnsi" w:hAnsiTheme="majorHAnsi"/>
          <w:bCs/>
          <w:sz w:val="22"/>
          <w:szCs w:val="22"/>
        </w:rPr>
        <w:t xml:space="preserve">iznosu od </w:t>
      </w:r>
      <w:r w:rsidR="000F01A0">
        <w:rPr>
          <w:rFonts w:asciiTheme="majorHAnsi" w:hAnsiTheme="majorHAnsi"/>
          <w:bCs/>
          <w:sz w:val="22"/>
          <w:szCs w:val="22"/>
        </w:rPr>
        <w:t>700.000KM</w:t>
      </w:r>
      <w:r w:rsidR="006E2D27">
        <w:rPr>
          <w:rFonts w:asciiTheme="majorHAnsi" w:hAnsiTheme="majorHAnsi"/>
          <w:bCs/>
          <w:sz w:val="22"/>
          <w:szCs w:val="22"/>
        </w:rPr>
        <w:t xml:space="preserve"> </w:t>
      </w:r>
      <w:r w:rsidR="000F01A0">
        <w:rPr>
          <w:rFonts w:asciiTheme="majorHAnsi" w:hAnsiTheme="majorHAnsi"/>
          <w:bCs/>
          <w:sz w:val="22"/>
          <w:szCs w:val="22"/>
        </w:rPr>
        <w:t>odobren 08.12.2015.g.sa rokom vraćanja 08.12.2016.g.uz kamatu od 3%.</w:t>
      </w:r>
    </w:p>
    <w:p w:rsidR="00E065B5" w:rsidRDefault="00E065B5" w:rsidP="00B6109D">
      <w:pPr>
        <w:rPr>
          <w:rFonts w:asciiTheme="majorHAnsi" w:hAnsiTheme="majorHAnsi"/>
          <w:b/>
          <w:bCs/>
          <w:sz w:val="22"/>
          <w:szCs w:val="22"/>
        </w:rPr>
      </w:pPr>
    </w:p>
    <w:p w:rsidR="00E065B5" w:rsidRDefault="000F01A0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0F01A0">
        <w:rPr>
          <w:rFonts w:asciiTheme="majorHAnsi" w:hAnsiTheme="majorHAnsi"/>
          <w:b/>
          <w:bCs/>
          <w:sz w:val="22"/>
          <w:szCs w:val="22"/>
          <w:u w:val="single"/>
        </w:rPr>
        <w:t>NOTA 22(AOP158</w:t>
      </w:r>
      <w:r w:rsidR="00310144">
        <w:rPr>
          <w:rFonts w:asciiTheme="majorHAnsi" w:hAnsiTheme="majorHAnsi"/>
          <w:b/>
          <w:bCs/>
          <w:sz w:val="22"/>
          <w:szCs w:val="22"/>
          <w:u w:val="single"/>
        </w:rPr>
        <w:t>)</w:t>
      </w:r>
    </w:p>
    <w:p w:rsidR="00310144" w:rsidRDefault="00310144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Obaveze za premiju i specifične obaveze</w:t>
      </w:r>
    </w:p>
    <w:p w:rsidR="00310144" w:rsidRDefault="00310144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10144" w:rsidRDefault="00310144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10144">
        <w:rPr>
          <w:rFonts w:asciiTheme="majorHAnsi" w:hAnsiTheme="majorHAnsi"/>
          <w:bCs/>
          <w:sz w:val="22"/>
          <w:szCs w:val="22"/>
        </w:rPr>
        <w:t xml:space="preserve">Obaveze po osnovu specifičnih odnosa </w:t>
      </w:r>
      <w:r w:rsidR="007539EB">
        <w:rPr>
          <w:rFonts w:asciiTheme="majorHAnsi" w:hAnsiTheme="majorHAnsi"/>
          <w:bCs/>
          <w:sz w:val="22"/>
          <w:szCs w:val="22"/>
        </w:rPr>
        <w:t>su</w:t>
      </w:r>
      <w:r w:rsidRPr="00310144">
        <w:rPr>
          <w:rFonts w:asciiTheme="majorHAnsi" w:hAnsiTheme="majorHAnsi"/>
          <w:bCs/>
          <w:sz w:val="22"/>
          <w:szCs w:val="22"/>
        </w:rPr>
        <w:t xml:space="preserve"> obavez</w:t>
      </w:r>
      <w:r w:rsidR="007539EB">
        <w:rPr>
          <w:rFonts w:asciiTheme="majorHAnsi" w:hAnsiTheme="majorHAnsi"/>
          <w:bCs/>
          <w:sz w:val="22"/>
          <w:szCs w:val="22"/>
        </w:rPr>
        <w:t>e</w:t>
      </w:r>
      <w:r w:rsidRPr="00310144">
        <w:rPr>
          <w:rFonts w:asciiTheme="majorHAnsi" w:hAnsiTheme="majorHAnsi"/>
          <w:bCs/>
          <w:sz w:val="22"/>
          <w:szCs w:val="22"/>
        </w:rPr>
        <w:t xml:space="preserve"> prema reosiguravačima</w:t>
      </w:r>
      <w:r>
        <w:rPr>
          <w:rFonts w:asciiTheme="majorHAnsi" w:hAnsiTheme="majorHAnsi"/>
          <w:b/>
          <w:bCs/>
          <w:sz w:val="22"/>
          <w:szCs w:val="22"/>
        </w:rPr>
        <w:t>:</w:t>
      </w:r>
    </w:p>
    <w:tbl>
      <w:tblPr>
        <w:tblW w:w="8931" w:type="dxa"/>
        <w:tblInd w:w="93" w:type="dxa"/>
        <w:tblLook w:val="04A0"/>
      </w:tblPr>
      <w:tblGrid>
        <w:gridCol w:w="960"/>
        <w:gridCol w:w="960"/>
        <w:gridCol w:w="960"/>
        <w:gridCol w:w="1362"/>
        <w:gridCol w:w="640"/>
        <w:gridCol w:w="1200"/>
        <w:gridCol w:w="1660"/>
        <w:gridCol w:w="1260"/>
      </w:tblGrid>
      <w:tr w:rsidR="00310144" w:rsidRPr="00310144" w:rsidTr="00384D9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Index</w:t>
            </w:r>
          </w:p>
        </w:tc>
      </w:tr>
      <w:tr w:rsidR="00310144" w:rsidRPr="00310144" w:rsidTr="004C6115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24.653,98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41.996,11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58,71</w:t>
            </w:r>
          </w:p>
        </w:tc>
      </w:tr>
      <w:tr w:rsidR="00310144" w:rsidRPr="00310144" w:rsidTr="004C6115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104.511,20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119.469,25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87,48</w:t>
            </w:r>
          </w:p>
        </w:tc>
      </w:tr>
      <w:tr w:rsidR="00310144" w:rsidRPr="00310144" w:rsidTr="0031014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 xml:space="preserve">Reosiguranje transporta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5.467,11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0,00</w:t>
            </w:r>
          </w:p>
        </w:tc>
      </w:tr>
      <w:tr w:rsidR="00310144" w:rsidRPr="00310144" w:rsidTr="0031014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 xml:space="preserve">Reosiguranje imovine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17.987,98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0,00</w:t>
            </w:r>
          </w:p>
        </w:tc>
      </w:tr>
      <w:tr w:rsidR="00310144" w:rsidRPr="00310144" w:rsidTr="003101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152.620,27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161.465,36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44" w:rsidRPr="004C6115" w:rsidRDefault="00310144" w:rsidP="0031014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115">
              <w:rPr>
                <w:rFonts w:ascii="Cambria" w:hAnsi="Cambria"/>
                <w:color w:val="000000"/>
                <w:sz w:val="20"/>
                <w:szCs w:val="20"/>
              </w:rPr>
              <w:t>94,52</w:t>
            </w:r>
          </w:p>
        </w:tc>
      </w:tr>
    </w:tbl>
    <w:p w:rsidR="00310144" w:rsidRDefault="00310144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456" w:type="dxa"/>
        <w:tblInd w:w="93" w:type="dxa"/>
        <w:tblLook w:val="04A0"/>
      </w:tblPr>
      <w:tblGrid>
        <w:gridCol w:w="6536"/>
        <w:gridCol w:w="1660"/>
        <w:gridCol w:w="1260"/>
      </w:tblGrid>
      <w:tr w:rsidR="00CE78D1" w:rsidRPr="00CE78D1" w:rsidTr="00CE78D1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B6109D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      </w:t>
            </w:r>
            <w:r w:rsidR="00CE78D1" w:rsidRPr="00CE78D1">
              <w:rPr>
                <w:rFonts w:ascii="Cambria" w:hAnsi="Cambria"/>
                <w:color w:val="000000"/>
                <w:sz w:val="22"/>
                <w:szCs w:val="22"/>
              </w:rPr>
              <w:t>Za  2015.g .su zaključeni ugovori o reosiguranju sa: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i/>
                <w:iCs/>
                <w:color w:val="000000"/>
              </w:rPr>
            </w:pPr>
          </w:p>
        </w:tc>
      </w:tr>
      <w:tr w:rsidR="00CE78D1" w:rsidRPr="00CE78D1" w:rsidTr="00CE78D1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ind w:right="-377"/>
              <w:rPr>
                <w:rFonts w:ascii="Cambria" w:hAnsi="Cambria"/>
                <w:color w:val="000000"/>
              </w:rPr>
            </w:pPr>
            <w:r w:rsidRPr="00CE78D1">
              <w:rPr>
                <w:rFonts w:ascii="Cambria" w:hAnsi="Cambria"/>
                <w:color w:val="000000"/>
                <w:sz w:val="22"/>
                <w:szCs w:val="22"/>
              </w:rPr>
              <w:t xml:space="preserve">1.Kvotni ugovor o reosiguranju transporta sa Bosna Re d.d.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Sarajevo.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i/>
                <w:iCs/>
                <w:color w:val="000000"/>
              </w:rPr>
            </w:pPr>
          </w:p>
        </w:tc>
      </w:tr>
      <w:tr w:rsidR="00CE78D1" w:rsidRPr="00CE78D1" w:rsidTr="00CE78D1">
        <w:trPr>
          <w:trHeight w:val="300"/>
        </w:trPr>
        <w:tc>
          <w:tcPr>
            <w:tcW w:w="8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CE78D1">
              <w:rPr>
                <w:rFonts w:ascii="Cambria" w:hAnsi="Cambria"/>
                <w:color w:val="000000"/>
                <w:sz w:val="22"/>
                <w:szCs w:val="22"/>
              </w:rPr>
              <w:t>2.Reosiguranje viška štete domaće autoodgovornosti sa Bosna Re d.d. Sarajevo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i/>
                <w:iCs/>
                <w:color w:val="000000"/>
              </w:rPr>
            </w:pPr>
          </w:p>
        </w:tc>
      </w:tr>
      <w:tr w:rsidR="00CE78D1" w:rsidRPr="00CE78D1" w:rsidTr="00CE78D1">
        <w:trPr>
          <w:trHeight w:val="300"/>
        </w:trPr>
        <w:tc>
          <w:tcPr>
            <w:tcW w:w="8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CE78D1">
              <w:rPr>
                <w:rFonts w:ascii="Cambria" w:hAnsi="Cambria"/>
                <w:color w:val="000000"/>
                <w:sz w:val="22"/>
                <w:szCs w:val="22"/>
              </w:rPr>
              <w:t>3.Reosiguranje viška štete za zelenu kartu sa Biroom zelene karte BiH Sarajevo.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Pr="00CE78D1" w:rsidRDefault="00CE78D1" w:rsidP="000F5B3F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E78D1" w:rsidRPr="00CE78D1" w:rsidTr="00CE78D1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D1" w:rsidRDefault="00CE78D1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CE78D1">
              <w:rPr>
                <w:rFonts w:ascii="Cambria" w:hAnsi="Cambria"/>
                <w:color w:val="000000"/>
                <w:sz w:val="22"/>
                <w:szCs w:val="22"/>
              </w:rPr>
              <w:t>5.Kvotno-ekscedentni ugovor o reosiguranju imovinskih rizika sa Bosna Re d.d.Sarajevo.</w:t>
            </w:r>
          </w:p>
          <w:p w:rsidR="00D26383" w:rsidRPr="00CE78D1" w:rsidRDefault="00D26383" w:rsidP="000F5B3F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2B2548" w:rsidRPr="002B2548" w:rsidRDefault="002B2548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2B2548">
        <w:rPr>
          <w:rFonts w:asciiTheme="majorHAnsi" w:hAnsiTheme="majorHAnsi"/>
          <w:bCs/>
          <w:sz w:val="22"/>
          <w:szCs w:val="22"/>
        </w:rPr>
        <w:t xml:space="preserve">Obaveze prema reosiguravačima su usaglašene sa 31.12.2015.g.putem IOS-a na </w:t>
      </w:r>
      <w:r>
        <w:rPr>
          <w:rFonts w:asciiTheme="majorHAnsi" w:hAnsiTheme="majorHAnsi"/>
          <w:bCs/>
          <w:sz w:val="22"/>
          <w:szCs w:val="22"/>
        </w:rPr>
        <w:t>31.12.2015.g.</w:t>
      </w:r>
    </w:p>
    <w:p w:rsidR="002B2548" w:rsidRDefault="002B2548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A16EE" w:rsidRDefault="004A16EE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4A16EE">
        <w:rPr>
          <w:rFonts w:asciiTheme="majorHAnsi" w:hAnsiTheme="majorHAnsi"/>
          <w:b/>
          <w:bCs/>
          <w:sz w:val="22"/>
          <w:szCs w:val="22"/>
          <w:u w:val="single"/>
        </w:rPr>
        <w:t>NOTA 23(AOP 159-165</w:t>
      </w:r>
      <w:r>
        <w:rPr>
          <w:rFonts w:asciiTheme="majorHAnsi" w:hAnsiTheme="majorHAnsi"/>
          <w:b/>
          <w:bCs/>
          <w:sz w:val="22"/>
          <w:szCs w:val="22"/>
        </w:rPr>
        <w:t>)</w:t>
      </w:r>
    </w:p>
    <w:p w:rsidR="004A16EE" w:rsidRDefault="004A16EE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Kratkoročne obaveze</w:t>
      </w:r>
    </w:p>
    <w:p w:rsidR="00DC3D85" w:rsidRDefault="00DC3D85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26383" w:rsidRPr="00D26383" w:rsidRDefault="000A6328" w:rsidP="00706496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</w:t>
      </w:r>
      <w:r w:rsidR="00D26383" w:rsidRPr="00D26383">
        <w:rPr>
          <w:rFonts w:asciiTheme="majorHAnsi" w:hAnsiTheme="majorHAnsi"/>
          <w:bCs/>
          <w:sz w:val="22"/>
          <w:szCs w:val="22"/>
        </w:rPr>
        <w:t xml:space="preserve">Kratkoročne obaveze </w:t>
      </w:r>
      <w:r w:rsidR="00D26383">
        <w:rPr>
          <w:rFonts w:asciiTheme="majorHAnsi" w:hAnsiTheme="majorHAnsi"/>
          <w:bCs/>
          <w:sz w:val="22"/>
          <w:szCs w:val="22"/>
        </w:rPr>
        <w:t>Društva su obaveze za primljene avanse,prema dobavljačima,obvaveze po osnovu</w:t>
      </w:r>
      <w:r w:rsidR="003D1CDC">
        <w:rPr>
          <w:rFonts w:asciiTheme="majorHAnsi" w:hAnsiTheme="majorHAnsi"/>
          <w:bCs/>
          <w:sz w:val="22"/>
          <w:szCs w:val="22"/>
        </w:rPr>
        <w:t xml:space="preserve"> </w:t>
      </w:r>
      <w:r w:rsidR="00D26383">
        <w:rPr>
          <w:rFonts w:asciiTheme="majorHAnsi" w:hAnsiTheme="majorHAnsi"/>
          <w:bCs/>
          <w:sz w:val="22"/>
          <w:szCs w:val="22"/>
        </w:rPr>
        <w:t xml:space="preserve">direktnih </w:t>
      </w:r>
      <w:r w:rsidR="00DA6D1B">
        <w:rPr>
          <w:rFonts w:asciiTheme="majorHAnsi" w:hAnsiTheme="majorHAnsi"/>
          <w:bCs/>
          <w:sz w:val="22"/>
          <w:szCs w:val="22"/>
        </w:rPr>
        <w:t>i</w:t>
      </w:r>
      <w:r w:rsidR="00D26383">
        <w:rPr>
          <w:rFonts w:asciiTheme="majorHAnsi" w:hAnsiTheme="majorHAnsi"/>
          <w:bCs/>
          <w:sz w:val="22"/>
          <w:szCs w:val="22"/>
        </w:rPr>
        <w:t xml:space="preserve"> indirektnih poreza:</w:t>
      </w:r>
    </w:p>
    <w:tbl>
      <w:tblPr>
        <w:tblpPr w:leftFromText="180" w:rightFromText="180" w:vertAnchor="text" w:tblpY="1"/>
        <w:tblOverlap w:val="never"/>
        <w:tblW w:w="9114" w:type="dxa"/>
        <w:tblInd w:w="93" w:type="dxa"/>
        <w:tblLook w:val="04A0"/>
      </w:tblPr>
      <w:tblGrid>
        <w:gridCol w:w="2101"/>
        <w:gridCol w:w="304"/>
        <w:gridCol w:w="1119"/>
        <w:gridCol w:w="769"/>
        <w:gridCol w:w="1585"/>
        <w:gridCol w:w="420"/>
        <w:gridCol w:w="1557"/>
        <w:gridCol w:w="1259"/>
      </w:tblGrid>
      <w:tr w:rsidR="00DC3D85" w:rsidRPr="000503E6" w:rsidTr="001B7987">
        <w:trPr>
          <w:trHeight w:val="29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Index</w:t>
            </w:r>
          </w:p>
        </w:tc>
      </w:tr>
      <w:tr w:rsidR="00DC3D85" w:rsidRPr="000503E6" w:rsidTr="001B7987">
        <w:trPr>
          <w:trHeight w:val="368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2.095,54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1.295,23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162</w:t>
            </w:r>
          </w:p>
        </w:tc>
      </w:tr>
      <w:tr w:rsidR="00DC3D85" w:rsidRPr="000503E6" w:rsidTr="001B7987">
        <w:trPr>
          <w:trHeight w:val="298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422.350,27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1.207.054,60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35</w:t>
            </w:r>
          </w:p>
        </w:tc>
      </w:tr>
      <w:tr w:rsidR="00DC3D85" w:rsidRPr="000503E6" w:rsidTr="001B7987">
        <w:trPr>
          <w:trHeight w:val="36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28.422,24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20.758,95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137</w:t>
            </w:r>
          </w:p>
        </w:tc>
      </w:tr>
      <w:tr w:rsidR="00DC3D85" w:rsidRPr="000503E6" w:rsidTr="001B7987">
        <w:trPr>
          <w:trHeight w:val="283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442.090,64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456.213,00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97</w:t>
            </w:r>
          </w:p>
        </w:tc>
      </w:tr>
      <w:tr w:rsidR="00DC3D85" w:rsidRPr="000503E6" w:rsidTr="001B7987">
        <w:trPr>
          <w:trHeight w:val="28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5.853,55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4.331,39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135</w:t>
            </w:r>
          </w:p>
        </w:tc>
      </w:tr>
      <w:tr w:rsidR="00DC3D85" w:rsidRPr="000503E6" w:rsidTr="001B7987">
        <w:trPr>
          <w:trHeight w:val="28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F1371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 xml:space="preserve">Ostali </w:t>
            </w:r>
            <w:r w:rsidR="00F13715" w:rsidRPr="000503E6">
              <w:rPr>
                <w:rFonts w:ascii="Cambria" w:hAnsi="Cambria"/>
                <w:color w:val="000000"/>
                <w:sz w:val="20"/>
                <w:szCs w:val="20"/>
              </w:rPr>
              <w:t>doprinosi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29.314,47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9E3D12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  <w:r w:rsidR="00DC3D85"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DC3D85" w:rsidRPr="000503E6" w:rsidTr="001B7987">
        <w:trPr>
          <w:trHeight w:val="29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930.126,71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1.689.653,17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85" w:rsidRPr="000503E6" w:rsidRDefault="00DC3D85" w:rsidP="00DC3D8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55</w:t>
            </w:r>
          </w:p>
        </w:tc>
      </w:tr>
    </w:tbl>
    <w:p w:rsidR="00DC3D85" w:rsidRPr="000503E6" w:rsidRDefault="00DC3D85" w:rsidP="00706496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0503E6">
        <w:rPr>
          <w:rFonts w:asciiTheme="majorHAnsi" w:hAnsiTheme="majorHAnsi"/>
          <w:b/>
          <w:bCs/>
          <w:sz w:val="20"/>
          <w:szCs w:val="20"/>
        </w:rPr>
        <w:br w:type="textWrapping" w:clear="all"/>
      </w:r>
    </w:p>
    <w:p w:rsidR="002B2548" w:rsidRDefault="006E2D27" w:rsidP="0093293A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2B2548">
        <w:rPr>
          <w:rFonts w:asciiTheme="majorHAnsi" w:hAnsiTheme="majorHAnsi"/>
          <w:bCs/>
          <w:sz w:val="22"/>
          <w:szCs w:val="22"/>
        </w:rPr>
        <w:t>Najveću stavku u obavezama ima obaveza za porez na dobit formirana kroz konačn</w:t>
      </w:r>
      <w:r w:rsidR="00E4786B">
        <w:rPr>
          <w:rFonts w:asciiTheme="majorHAnsi" w:hAnsiTheme="majorHAnsi"/>
          <w:bCs/>
          <w:sz w:val="22"/>
          <w:szCs w:val="22"/>
        </w:rPr>
        <w:t>i</w:t>
      </w:r>
      <w:r w:rsidR="002B2548">
        <w:rPr>
          <w:rFonts w:asciiTheme="majorHAnsi" w:hAnsiTheme="majorHAnsi"/>
          <w:bCs/>
          <w:sz w:val="22"/>
          <w:szCs w:val="22"/>
        </w:rPr>
        <w:t xml:space="preserve"> poresk</w:t>
      </w:r>
      <w:r w:rsidR="00E4786B">
        <w:rPr>
          <w:rFonts w:asciiTheme="majorHAnsi" w:hAnsiTheme="majorHAnsi"/>
          <w:bCs/>
          <w:sz w:val="22"/>
          <w:szCs w:val="22"/>
        </w:rPr>
        <w:t>i</w:t>
      </w:r>
      <w:r w:rsidR="002B2548">
        <w:rPr>
          <w:rFonts w:asciiTheme="majorHAnsi" w:hAnsiTheme="majorHAnsi"/>
          <w:bCs/>
          <w:sz w:val="22"/>
          <w:szCs w:val="22"/>
        </w:rPr>
        <w:t xml:space="preserve"> </w:t>
      </w:r>
      <w:r w:rsidR="00E4786B">
        <w:rPr>
          <w:rFonts w:asciiTheme="majorHAnsi" w:hAnsiTheme="majorHAnsi"/>
          <w:bCs/>
          <w:sz w:val="22"/>
          <w:szCs w:val="22"/>
        </w:rPr>
        <w:t>bilans</w:t>
      </w:r>
      <w:r w:rsidR="002B2548">
        <w:rPr>
          <w:rFonts w:asciiTheme="majorHAnsi" w:hAnsiTheme="majorHAnsi"/>
          <w:bCs/>
          <w:sz w:val="22"/>
          <w:szCs w:val="22"/>
        </w:rPr>
        <w:t xml:space="preserve"> i obaveze prema dobavljačima od kojih je najveća prema dobavljaču Heta Sarajevo u iznosu od 280.000 KM.</w:t>
      </w:r>
    </w:p>
    <w:p w:rsidR="00E4786B" w:rsidRDefault="006E2D27" w:rsidP="0093293A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       </w:t>
      </w:r>
      <w:r w:rsidR="00E4786B">
        <w:rPr>
          <w:rFonts w:asciiTheme="majorHAnsi" w:hAnsiTheme="majorHAnsi"/>
          <w:bCs/>
          <w:sz w:val="22"/>
          <w:szCs w:val="22"/>
        </w:rPr>
        <w:t>Po osnovu Zakona o obaveznim osiguranjima u saobraćaju po završnom računu je stvorena i obaveza u iznosu od 29.292,58KM kao dio preventive za realizaciju projekta unapređenje bezbednosti saobraćaja.</w:t>
      </w:r>
    </w:p>
    <w:p w:rsidR="00E4786B" w:rsidRDefault="00E4786B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794245" w:rsidRDefault="00794245" w:rsidP="00706496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Obaveze prema dobavljačima su usaglašavane putem IOS-a.Ukupno je došlo i usaglašeno </w:t>
      </w:r>
      <w:r w:rsidR="008D6D50">
        <w:rPr>
          <w:rFonts w:asciiTheme="majorHAnsi" w:hAnsiTheme="majorHAnsi"/>
          <w:bCs/>
          <w:sz w:val="22"/>
          <w:szCs w:val="22"/>
        </w:rPr>
        <w:t>81 iosa.</w:t>
      </w:r>
    </w:p>
    <w:p w:rsidR="00F369E9" w:rsidRDefault="00F369E9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F369E9" w:rsidRDefault="00F369E9" w:rsidP="0070649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69E9">
        <w:rPr>
          <w:rFonts w:asciiTheme="majorHAnsi" w:hAnsiTheme="majorHAnsi"/>
          <w:b/>
          <w:bCs/>
          <w:sz w:val="22"/>
          <w:szCs w:val="22"/>
          <w:u w:val="single"/>
        </w:rPr>
        <w:t>NOTA 24(AOP 168)</w:t>
      </w:r>
    </w:p>
    <w:p w:rsidR="00F369E9" w:rsidRDefault="00F369E9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369E9">
        <w:rPr>
          <w:rFonts w:asciiTheme="majorHAnsi" w:hAnsiTheme="majorHAnsi"/>
          <w:b/>
          <w:bCs/>
          <w:sz w:val="22"/>
          <w:szCs w:val="22"/>
        </w:rPr>
        <w:t>Pasivna vremenska razgraničenja</w:t>
      </w:r>
    </w:p>
    <w:p w:rsidR="00F369E9" w:rsidRDefault="00F369E9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369E9" w:rsidRDefault="00F369E9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F369E9">
        <w:rPr>
          <w:rFonts w:asciiTheme="majorHAnsi" w:hAnsiTheme="majorHAnsi"/>
          <w:bCs/>
          <w:sz w:val="22"/>
          <w:szCs w:val="22"/>
        </w:rPr>
        <w:t>Prenosna premija</w:t>
      </w:r>
    </w:p>
    <w:tbl>
      <w:tblPr>
        <w:tblW w:w="9092" w:type="dxa"/>
        <w:tblInd w:w="93" w:type="dxa"/>
        <w:tblLook w:val="04A0"/>
      </w:tblPr>
      <w:tblGrid>
        <w:gridCol w:w="2077"/>
        <w:gridCol w:w="292"/>
        <w:gridCol w:w="1139"/>
        <w:gridCol w:w="741"/>
        <w:gridCol w:w="1524"/>
        <w:gridCol w:w="292"/>
        <w:gridCol w:w="1683"/>
        <w:gridCol w:w="1344"/>
      </w:tblGrid>
      <w:tr w:rsidR="00C30F0A" w:rsidRPr="00C30F0A" w:rsidTr="00747ABC">
        <w:trPr>
          <w:trHeight w:val="32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Razlika</w:t>
            </w:r>
          </w:p>
        </w:tc>
      </w:tr>
      <w:tr w:rsidR="00C30F0A" w:rsidRPr="00C30F0A" w:rsidTr="00747ABC">
        <w:trPr>
          <w:trHeight w:val="326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124.802,21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114.625,22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10.176,99</w:t>
            </w:r>
          </w:p>
        </w:tc>
      </w:tr>
      <w:tr w:rsidR="00C30F0A" w:rsidRPr="00C30F0A" w:rsidTr="00747ABC">
        <w:trPr>
          <w:trHeight w:val="326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7.064,87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5.239,16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BA5C4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1.825,71</w:t>
            </w:r>
          </w:p>
        </w:tc>
      </w:tr>
      <w:tr w:rsidR="00C30F0A" w:rsidRPr="00C30F0A" w:rsidTr="00747ABC">
        <w:trPr>
          <w:trHeight w:val="326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286.888,59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320.951,28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-34.062,69</w:t>
            </w:r>
          </w:p>
        </w:tc>
      </w:tr>
      <w:tr w:rsidR="00C30F0A" w:rsidRPr="00C30F0A" w:rsidTr="00747ABC">
        <w:trPr>
          <w:trHeight w:val="326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imovina -transport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19.543,01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20.472,21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-929,20</w:t>
            </w:r>
          </w:p>
        </w:tc>
      </w:tr>
      <w:tr w:rsidR="00C30F0A" w:rsidRPr="00C30F0A" w:rsidTr="00747ABC">
        <w:trPr>
          <w:trHeight w:val="326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109.053,66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80.040,95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29.012,71</w:t>
            </w:r>
          </w:p>
        </w:tc>
      </w:tr>
      <w:tr w:rsidR="00C30F0A" w:rsidRPr="00C30F0A" w:rsidTr="00747ABC">
        <w:trPr>
          <w:trHeight w:val="32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15.789,64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8.473,87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7.315,77</w:t>
            </w:r>
          </w:p>
        </w:tc>
      </w:tr>
      <w:tr w:rsidR="00C30F0A" w:rsidRPr="00C30F0A" w:rsidTr="00747ABC">
        <w:trPr>
          <w:trHeight w:val="32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7.485.372,87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6.679.325,98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806.046,89</w:t>
            </w:r>
          </w:p>
        </w:tc>
      </w:tr>
      <w:tr w:rsidR="00C30F0A" w:rsidRPr="00C30F0A" w:rsidTr="00747ABC">
        <w:trPr>
          <w:trHeight w:val="326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Prenosna premija od opšte odgovor.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1.431,97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1.542,49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-110,52</w:t>
            </w:r>
          </w:p>
        </w:tc>
      </w:tr>
      <w:tr w:rsidR="00C30F0A" w:rsidRPr="00C30F0A" w:rsidTr="00747ABC">
        <w:trPr>
          <w:trHeight w:val="326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8.049.946,82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C30F0A" w:rsidP="00C30F0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7.230.671,16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0A" w:rsidRPr="000503E6" w:rsidRDefault="00BA5C43" w:rsidP="00C30F0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03E6">
              <w:rPr>
                <w:rFonts w:ascii="Cambria" w:hAnsi="Cambria"/>
                <w:color w:val="000000"/>
                <w:sz w:val="20"/>
                <w:szCs w:val="20"/>
              </w:rPr>
              <w:t>819.275,66</w:t>
            </w:r>
          </w:p>
        </w:tc>
      </w:tr>
    </w:tbl>
    <w:p w:rsidR="00C30F0A" w:rsidRDefault="00C30F0A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F12503" w:rsidRDefault="00F12503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F12503" w:rsidRDefault="006E2D27" w:rsidP="0093293A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F12503">
        <w:rPr>
          <w:rFonts w:asciiTheme="majorHAnsi" w:hAnsiTheme="majorHAnsi"/>
          <w:bCs/>
          <w:sz w:val="22"/>
          <w:szCs w:val="22"/>
        </w:rPr>
        <w:t xml:space="preserve">Prenosna premija obračunata </w:t>
      </w:r>
      <w:r w:rsidR="005B131E">
        <w:rPr>
          <w:rFonts w:asciiTheme="majorHAnsi" w:hAnsiTheme="majorHAnsi"/>
          <w:bCs/>
          <w:sz w:val="22"/>
          <w:szCs w:val="22"/>
        </w:rPr>
        <w:t xml:space="preserve">u </w:t>
      </w:r>
      <w:r w:rsidR="00B62373">
        <w:rPr>
          <w:rFonts w:asciiTheme="majorHAnsi" w:hAnsiTheme="majorHAnsi"/>
          <w:bCs/>
          <w:sz w:val="22"/>
          <w:szCs w:val="22"/>
        </w:rPr>
        <w:t xml:space="preserve">iznosu od 8.049.946,82KM,kao prihod za plaćanje budućih obaveza </w:t>
      </w:r>
      <w:r w:rsidR="00926CE4">
        <w:rPr>
          <w:rFonts w:asciiTheme="majorHAnsi" w:hAnsiTheme="majorHAnsi"/>
          <w:bCs/>
          <w:sz w:val="22"/>
          <w:szCs w:val="22"/>
        </w:rPr>
        <w:t>Društva,</w:t>
      </w:r>
      <w:r w:rsidR="00F12503">
        <w:rPr>
          <w:rFonts w:asciiTheme="majorHAnsi" w:hAnsiTheme="majorHAnsi"/>
          <w:bCs/>
          <w:sz w:val="22"/>
          <w:szCs w:val="22"/>
        </w:rPr>
        <w:t xml:space="preserve">metodom </w:t>
      </w:r>
      <w:r w:rsidR="005B131E">
        <w:rPr>
          <w:rFonts w:asciiTheme="majorHAnsi" w:hAnsiTheme="majorHAnsi"/>
          <w:bCs/>
          <w:sz w:val="22"/>
          <w:szCs w:val="22"/>
        </w:rPr>
        <w:t>,,</w:t>
      </w:r>
      <w:r w:rsidR="00F12503">
        <w:rPr>
          <w:rFonts w:asciiTheme="majorHAnsi" w:hAnsiTheme="majorHAnsi"/>
          <w:bCs/>
          <w:sz w:val="22"/>
          <w:szCs w:val="22"/>
        </w:rPr>
        <w:t>pro rata temporis</w:t>
      </w:r>
      <w:r w:rsidR="005B131E">
        <w:rPr>
          <w:rFonts w:asciiTheme="majorHAnsi" w:hAnsiTheme="majorHAnsi"/>
          <w:bCs/>
          <w:sz w:val="22"/>
          <w:szCs w:val="22"/>
        </w:rPr>
        <w:t>,,</w:t>
      </w:r>
      <w:r w:rsidR="00F12503">
        <w:rPr>
          <w:rFonts w:asciiTheme="majorHAnsi" w:hAnsiTheme="majorHAnsi"/>
          <w:bCs/>
          <w:sz w:val="22"/>
          <w:szCs w:val="22"/>
        </w:rPr>
        <w:t xml:space="preserve"> je automatski odrađena u premijskom programu Društva </w:t>
      </w:r>
      <w:r w:rsidR="005B131E">
        <w:rPr>
          <w:rFonts w:asciiTheme="majorHAnsi" w:hAnsiTheme="majorHAnsi"/>
          <w:bCs/>
          <w:sz w:val="22"/>
          <w:szCs w:val="22"/>
        </w:rPr>
        <w:t xml:space="preserve">i u odnosu na predhodnu godinu je </w:t>
      </w:r>
      <w:r w:rsidR="00D26383">
        <w:rPr>
          <w:rFonts w:asciiTheme="majorHAnsi" w:hAnsiTheme="majorHAnsi"/>
          <w:bCs/>
          <w:sz w:val="22"/>
          <w:szCs w:val="22"/>
        </w:rPr>
        <w:t>veća</w:t>
      </w:r>
      <w:r w:rsidR="005B131E">
        <w:rPr>
          <w:rFonts w:asciiTheme="majorHAnsi" w:hAnsiTheme="majorHAnsi"/>
          <w:bCs/>
          <w:sz w:val="22"/>
          <w:szCs w:val="22"/>
        </w:rPr>
        <w:t xml:space="preserve"> u iznosu od 819.275,66KM.</w:t>
      </w:r>
    </w:p>
    <w:p w:rsidR="00553F9A" w:rsidRDefault="00553F9A" w:rsidP="00706496">
      <w:pPr>
        <w:jc w:val="both"/>
        <w:rPr>
          <w:rFonts w:asciiTheme="majorHAnsi" w:hAnsiTheme="majorHAnsi"/>
          <w:bCs/>
          <w:sz w:val="22"/>
          <w:szCs w:val="22"/>
        </w:rPr>
      </w:pPr>
    </w:p>
    <w:p w:rsidR="00553F9A" w:rsidRDefault="00553F9A" w:rsidP="00706496">
      <w:pPr>
        <w:jc w:val="both"/>
        <w:rPr>
          <w:rFonts w:asciiTheme="majorHAnsi" w:hAnsiTheme="majorHAnsi"/>
          <w:bCs/>
          <w:sz w:val="22"/>
          <w:szCs w:val="22"/>
        </w:rPr>
      </w:pPr>
      <w:r w:rsidRPr="00553F9A">
        <w:rPr>
          <w:rFonts w:asciiTheme="majorHAnsi" w:hAnsiTheme="majorHAnsi"/>
          <w:b/>
          <w:bCs/>
          <w:sz w:val="22"/>
          <w:szCs w:val="22"/>
          <w:u w:val="single"/>
        </w:rPr>
        <w:t>NOTA 25(AOP 171</w:t>
      </w:r>
      <w:r>
        <w:rPr>
          <w:rFonts w:asciiTheme="majorHAnsi" w:hAnsiTheme="majorHAnsi"/>
          <w:bCs/>
          <w:sz w:val="22"/>
          <w:szCs w:val="22"/>
        </w:rPr>
        <w:t>)</w:t>
      </w:r>
    </w:p>
    <w:p w:rsidR="00553F9A" w:rsidRDefault="00553F9A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553F9A">
        <w:rPr>
          <w:rFonts w:asciiTheme="majorHAnsi" w:hAnsiTheme="majorHAnsi"/>
          <w:b/>
          <w:bCs/>
          <w:sz w:val="22"/>
          <w:szCs w:val="22"/>
        </w:rPr>
        <w:t>Rezervacija šteta</w:t>
      </w:r>
    </w:p>
    <w:p w:rsidR="00553F9A" w:rsidRDefault="00553F9A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081" w:type="dxa"/>
        <w:tblInd w:w="93" w:type="dxa"/>
        <w:tblLook w:val="04A0"/>
      </w:tblPr>
      <w:tblGrid>
        <w:gridCol w:w="2054"/>
        <w:gridCol w:w="293"/>
        <w:gridCol w:w="1129"/>
        <w:gridCol w:w="742"/>
        <w:gridCol w:w="1530"/>
        <w:gridCol w:w="293"/>
        <w:gridCol w:w="1690"/>
        <w:gridCol w:w="1350"/>
      </w:tblGrid>
      <w:tr w:rsidR="00A17ECA" w:rsidRPr="00A17ECA" w:rsidTr="00747ABC">
        <w:trPr>
          <w:trHeight w:val="276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Razlika</w:t>
            </w:r>
          </w:p>
        </w:tc>
      </w:tr>
      <w:tr w:rsidR="00A17ECA" w:rsidRPr="00A17ECA" w:rsidTr="00747ABC">
        <w:trPr>
          <w:trHeight w:val="27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3D5621">
            <w:pPr>
              <w:ind w:right="-294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Rezervacija šte.po osn. domaće AO.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7.007.027,26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6.308.249,19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698.778,07</w:t>
            </w:r>
          </w:p>
        </w:tc>
      </w:tr>
      <w:tr w:rsidR="00A17ECA" w:rsidRPr="00A17ECA" w:rsidTr="00747ABC">
        <w:trPr>
          <w:trHeight w:val="27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Rezervacije šteta po osnovu kaska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405.084,68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392.569,33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12.515,35</w:t>
            </w:r>
          </w:p>
        </w:tc>
      </w:tr>
      <w:tr w:rsidR="00A17ECA" w:rsidRPr="00A17ECA" w:rsidTr="00747ABC">
        <w:trPr>
          <w:trHeight w:val="27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Rezervacija po osnovu nezgode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40.605,61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37.683,21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2.922,40</w:t>
            </w:r>
          </w:p>
        </w:tc>
      </w:tr>
      <w:tr w:rsidR="00A17ECA" w:rsidRPr="00A17ECA" w:rsidTr="00747ABC">
        <w:trPr>
          <w:trHeight w:val="276"/>
        </w:trPr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Rezervacija po osnovu šteta transport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6.879,34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123.910,10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-117.030,76</w:t>
            </w:r>
          </w:p>
        </w:tc>
      </w:tr>
      <w:tr w:rsidR="00A17ECA" w:rsidRPr="00A17ECA" w:rsidTr="00747ABC">
        <w:trPr>
          <w:trHeight w:val="276"/>
        </w:trPr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1.331,57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9.616,06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-8.284,49</w:t>
            </w:r>
          </w:p>
        </w:tc>
      </w:tr>
      <w:tr w:rsidR="00A17ECA" w:rsidRPr="00A17ECA" w:rsidTr="00747ABC">
        <w:trPr>
          <w:trHeight w:val="276"/>
        </w:trPr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21278,74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21.210,09</w:t>
            </w:r>
          </w:p>
        </w:tc>
      </w:tr>
      <w:tr w:rsidR="00A17ECA" w:rsidRPr="00A17ECA" w:rsidTr="00747ABC">
        <w:trPr>
          <w:trHeight w:val="27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Rezervacija po osnovu šteta PZO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1898,16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17587,88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-15.689,72</w:t>
            </w:r>
          </w:p>
        </w:tc>
      </w:tr>
      <w:tr w:rsidR="00A17ECA" w:rsidRPr="00A17ECA" w:rsidTr="00747ABC">
        <w:trPr>
          <w:trHeight w:val="276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7.484.105,36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6.889.684,42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CA" w:rsidRPr="006468CD" w:rsidRDefault="00A17ECA" w:rsidP="00A17EC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468CD">
              <w:rPr>
                <w:rFonts w:ascii="Cambria" w:hAnsi="Cambria"/>
                <w:color w:val="000000"/>
                <w:sz w:val="20"/>
                <w:szCs w:val="20"/>
              </w:rPr>
              <w:t>594.420,94</w:t>
            </w:r>
          </w:p>
        </w:tc>
      </w:tr>
    </w:tbl>
    <w:p w:rsidR="0093293A" w:rsidRDefault="0093293A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D5621" w:rsidRDefault="003D5621" w:rsidP="0070649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D5621" w:rsidRDefault="00D54A33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4875B3">
        <w:rPr>
          <w:rFonts w:asciiTheme="majorHAnsi" w:hAnsiTheme="majorHAnsi"/>
          <w:bCs/>
          <w:sz w:val="22"/>
          <w:szCs w:val="22"/>
        </w:rPr>
        <w:t xml:space="preserve">      </w:t>
      </w:r>
      <w:r w:rsidR="005C5E2F">
        <w:rPr>
          <w:rFonts w:asciiTheme="majorHAnsi" w:hAnsiTheme="majorHAnsi"/>
          <w:bCs/>
          <w:sz w:val="22"/>
          <w:szCs w:val="22"/>
        </w:rPr>
        <w:t xml:space="preserve">   Rezervacija </w:t>
      </w:r>
      <w:r w:rsidR="003D5621">
        <w:rPr>
          <w:rFonts w:asciiTheme="majorHAnsi" w:hAnsiTheme="majorHAnsi"/>
          <w:bCs/>
          <w:sz w:val="22"/>
          <w:szCs w:val="22"/>
        </w:rPr>
        <w:t xml:space="preserve">šteta koja je odrađena </w:t>
      </w:r>
      <w:r w:rsidR="004875B3">
        <w:rPr>
          <w:rFonts w:asciiTheme="majorHAnsi" w:hAnsiTheme="majorHAnsi"/>
          <w:bCs/>
          <w:sz w:val="22"/>
          <w:szCs w:val="22"/>
        </w:rPr>
        <w:t>po Pravilniku o rezervaciji šteta</w:t>
      </w:r>
      <w:r w:rsidR="003D5621">
        <w:rPr>
          <w:rFonts w:asciiTheme="majorHAnsi" w:hAnsiTheme="majorHAnsi"/>
          <w:bCs/>
          <w:sz w:val="22"/>
          <w:szCs w:val="22"/>
        </w:rPr>
        <w:t xml:space="preserve"> u iznosu 7.484.105,36KM </w:t>
      </w:r>
      <w:r w:rsidR="005C5E2F">
        <w:rPr>
          <w:rFonts w:asciiTheme="majorHAnsi" w:hAnsiTheme="majorHAnsi"/>
          <w:bCs/>
          <w:sz w:val="22"/>
          <w:szCs w:val="22"/>
        </w:rPr>
        <w:t xml:space="preserve">je veća </w:t>
      </w:r>
      <w:r w:rsidR="003D5621">
        <w:rPr>
          <w:rFonts w:asciiTheme="majorHAnsi" w:hAnsiTheme="majorHAnsi"/>
          <w:bCs/>
          <w:sz w:val="22"/>
          <w:szCs w:val="22"/>
        </w:rPr>
        <w:t>u odnosu na predhodnu godinu u iznosu od 594.420,94KM i knjižena je na troškove rezervacije šteta.</w:t>
      </w:r>
    </w:p>
    <w:p w:rsidR="003D5621" w:rsidRDefault="004875B3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      </w:t>
      </w:r>
      <w:r w:rsidR="003D5621">
        <w:rPr>
          <w:rFonts w:asciiTheme="majorHAnsi" w:hAnsiTheme="majorHAnsi"/>
          <w:bCs/>
          <w:sz w:val="22"/>
          <w:szCs w:val="22"/>
        </w:rPr>
        <w:t>Navedena rezervacija je urađena za :</w:t>
      </w:r>
    </w:p>
    <w:p w:rsidR="003D5621" w:rsidRDefault="003D5621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Rezervacija za nastale prijavljene štete u iznosu od 4.376.695,19 i</w:t>
      </w:r>
    </w:p>
    <w:p w:rsidR="003D5621" w:rsidRDefault="003D5621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Rezervacija za </w:t>
      </w:r>
      <w:r w:rsidR="00CD4576">
        <w:rPr>
          <w:rFonts w:asciiTheme="majorHAnsi" w:hAnsiTheme="majorHAnsi"/>
          <w:bCs/>
          <w:sz w:val="22"/>
          <w:szCs w:val="22"/>
        </w:rPr>
        <w:t>nastale  a do 31.12.2015.g.ne prijavljene štete u iznosu 3.107.410,17KM.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:rsidR="00303A43" w:rsidRDefault="00B83AB1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Rezer</w:t>
      </w:r>
      <w:r w:rsidR="00303A43">
        <w:rPr>
          <w:rFonts w:asciiTheme="majorHAnsi" w:hAnsiTheme="majorHAnsi"/>
          <w:bCs/>
          <w:sz w:val="22"/>
          <w:szCs w:val="22"/>
        </w:rPr>
        <w:t xml:space="preserve">vacija </w:t>
      </w:r>
      <w:r w:rsidR="007D533F">
        <w:rPr>
          <w:rFonts w:asciiTheme="majorHAnsi" w:hAnsiTheme="majorHAnsi"/>
          <w:bCs/>
          <w:sz w:val="22"/>
          <w:szCs w:val="22"/>
        </w:rPr>
        <w:t xml:space="preserve">nastalih ne prijavljenih </w:t>
      </w:r>
      <w:r w:rsidR="00303A43">
        <w:rPr>
          <w:rFonts w:asciiTheme="majorHAnsi" w:hAnsiTheme="majorHAnsi"/>
          <w:bCs/>
          <w:sz w:val="22"/>
          <w:szCs w:val="22"/>
        </w:rPr>
        <w:t>šteta za autoodgovornost,nezgodu i kasko je urađena metodom ulančanih ljestvica a rezervacija  šteta za putničko zdravstveno i za imovinu je urađena metodom na osnovu podataka o riješenim i rezervisanim(nastalim</w:t>
      </w:r>
      <w:r w:rsidR="007D533F">
        <w:rPr>
          <w:rFonts w:asciiTheme="majorHAnsi" w:hAnsiTheme="majorHAnsi"/>
          <w:bCs/>
          <w:sz w:val="22"/>
          <w:szCs w:val="22"/>
        </w:rPr>
        <w:t xml:space="preserve"> </w:t>
      </w:r>
      <w:r w:rsidR="00303A43">
        <w:rPr>
          <w:rFonts w:asciiTheme="majorHAnsi" w:hAnsiTheme="majorHAnsi"/>
          <w:bCs/>
          <w:sz w:val="22"/>
          <w:szCs w:val="22"/>
        </w:rPr>
        <w:t>prijavljenim a ne riješenim)štetama.</w:t>
      </w:r>
    </w:p>
    <w:p w:rsidR="00B83AB1" w:rsidRDefault="00B83AB1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E4786B" w:rsidRDefault="00E4786B" w:rsidP="00CD4576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4786B">
        <w:rPr>
          <w:rFonts w:asciiTheme="majorHAnsi" w:hAnsiTheme="majorHAnsi"/>
          <w:b/>
          <w:bCs/>
          <w:sz w:val="22"/>
          <w:szCs w:val="22"/>
          <w:u w:val="single"/>
        </w:rPr>
        <w:t>NOTA 26(AOP173</w:t>
      </w:r>
      <w:r w:rsidRPr="00E4786B">
        <w:rPr>
          <w:rFonts w:asciiTheme="majorHAnsi" w:hAnsiTheme="majorHAnsi"/>
          <w:b/>
          <w:bCs/>
          <w:sz w:val="22"/>
          <w:szCs w:val="22"/>
        </w:rPr>
        <w:t>)</w:t>
      </w:r>
    </w:p>
    <w:p w:rsidR="00E4786B" w:rsidRDefault="00E4786B" w:rsidP="00CD4576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Druga pasivna razgraničenja</w:t>
      </w:r>
    </w:p>
    <w:p w:rsidR="00E4786B" w:rsidRDefault="00850B05" w:rsidP="00427CC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</w:t>
      </w:r>
      <w:r w:rsidR="00E00270">
        <w:rPr>
          <w:rFonts w:asciiTheme="majorHAnsi" w:hAnsiTheme="majorHAnsi"/>
          <w:bCs/>
          <w:sz w:val="22"/>
          <w:szCs w:val="22"/>
        </w:rPr>
        <w:t>Druga pasivna vremensk</w:t>
      </w:r>
      <w:r w:rsidR="00FE4AD6">
        <w:rPr>
          <w:rFonts w:asciiTheme="majorHAnsi" w:hAnsiTheme="majorHAnsi"/>
          <w:bCs/>
          <w:sz w:val="22"/>
          <w:szCs w:val="22"/>
        </w:rPr>
        <w:t xml:space="preserve">a </w:t>
      </w:r>
      <w:r w:rsidR="007641D2">
        <w:rPr>
          <w:rFonts w:asciiTheme="majorHAnsi" w:hAnsiTheme="majorHAnsi"/>
          <w:bCs/>
          <w:sz w:val="22"/>
          <w:szCs w:val="22"/>
        </w:rPr>
        <w:t xml:space="preserve">razgraničenja u iznosu 1.697.875,53KM </w:t>
      </w:r>
      <w:r w:rsidR="00FE4AD6">
        <w:rPr>
          <w:rFonts w:asciiTheme="majorHAnsi" w:hAnsiTheme="majorHAnsi"/>
          <w:bCs/>
          <w:sz w:val="22"/>
          <w:szCs w:val="22"/>
        </w:rPr>
        <w:t>se sastoje iz:</w:t>
      </w:r>
    </w:p>
    <w:p w:rsidR="00FE4AD6" w:rsidRDefault="00FE4AD6" w:rsidP="00427CC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1.Doprinosa za preventivu u iznosu od 1.327.330,50KM, a koji je u odnosu na početno stanje veći za 18.729,16KM.</w:t>
      </w:r>
    </w:p>
    <w:p w:rsidR="00FE4AD6" w:rsidRDefault="006E2D27" w:rsidP="00427CC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</w:t>
      </w:r>
      <w:r w:rsidR="00FE4AD6">
        <w:rPr>
          <w:rFonts w:asciiTheme="majorHAnsi" w:hAnsiTheme="majorHAnsi"/>
          <w:bCs/>
          <w:sz w:val="22"/>
          <w:szCs w:val="22"/>
        </w:rPr>
        <w:t>Doprinos za preventivu je formiran u skladu sa Pravilnikom o maksimalnim stopama režijskog dodatka.Njegova namjena i korištenje su određeni Pravilnikom o preventivi.</w:t>
      </w:r>
    </w:p>
    <w:p w:rsidR="00FE4AD6" w:rsidRDefault="00FE4AD6" w:rsidP="00427CC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2.Razgraničeni prihodi po osnovu premije reosiguranjau iznosu od 9.302,12KM</w:t>
      </w:r>
    </w:p>
    <w:p w:rsidR="00FE4AD6" w:rsidRDefault="00FE4AD6" w:rsidP="00427CCF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3.Kursne razlike po osnovu oročenog depozita u banci u iznosu od 361.242,91KM,nastale po osnovu dolarskog depozita čiji je rok dospjeća</w:t>
      </w:r>
      <w:r w:rsidR="007641D2">
        <w:rPr>
          <w:rFonts w:asciiTheme="majorHAnsi" w:hAnsiTheme="majorHAnsi"/>
          <w:bCs/>
          <w:sz w:val="22"/>
          <w:szCs w:val="22"/>
        </w:rPr>
        <w:t xml:space="preserve"> 05.05.2017.g.</w:t>
      </w:r>
    </w:p>
    <w:p w:rsidR="00520199" w:rsidRDefault="00520199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520199" w:rsidRDefault="00520199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520199" w:rsidRDefault="00520199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Bijeljina 25.02.2016.g                                                                                                             DIREKTOR</w:t>
      </w:r>
    </w:p>
    <w:p w:rsidR="00520199" w:rsidRPr="00E00270" w:rsidRDefault="00520199" w:rsidP="00CD457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Milenko Mišanović</w:t>
      </w:r>
    </w:p>
    <w:sectPr w:rsidR="00520199" w:rsidRPr="00E00270" w:rsidSect="001D551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1A" w:rsidRDefault="0081281A" w:rsidP="00364882">
      <w:r>
        <w:separator/>
      </w:r>
    </w:p>
  </w:endnote>
  <w:endnote w:type="continuationSeparator" w:id="1">
    <w:p w:rsidR="0081281A" w:rsidRDefault="0081281A" w:rsidP="0036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30"/>
      <w:gridCol w:w="962"/>
      <w:gridCol w:w="4329"/>
    </w:tblGrid>
    <w:tr w:rsidR="00BA760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A760E" w:rsidRDefault="00BA7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A760E" w:rsidRPr="006A4F12" w:rsidRDefault="00BA760E">
          <w:pPr>
            <w:pStyle w:val="NoSpacing"/>
            <w:rPr>
              <w:rFonts w:asciiTheme="majorHAnsi" w:hAnsiTheme="majorHAnsi"/>
              <w:sz w:val="18"/>
              <w:szCs w:val="18"/>
            </w:rPr>
          </w:pPr>
          <w:r w:rsidRPr="006A4F12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="008A5339" w:rsidRPr="006A4F12">
            <w:rPr>
              <w:sz w:val="18"/>
              <w:szCs w:val="18"/>
            </w:rPr>
            <w:fldChar w:fldCharType="begin"/>
          </w:r>
          <w:r w:rsidRPr="006A4F12">
            <w:rPr>
              <w:sz w:val="18"/>
              <w:szCs w:val="18"/>
            </w:rPr>
            <w:instrText xml:space="preserve"> PAGE  \* MERGEFORMAT </w:instrText>
          </w:r>
          <w:r w:rsidR="008A5339" w:rsidRPr="006A4F12">
            <w:rPr>
              <w:sz w:val="18"/>
              <w:szCs w:val="18"/>
            </w:rPr>
            <w:fldChar w:fldCharType="separate"/>
          </w:r>
          <w:r w:rsidR="001866D6" w:rsidRPr="001866D6">
            <w:rPr>
              <w:rFonts w:asciiTheme="majorHAnsi" w:hAnsiTheme="majorHAnsi"/>
              <w:b/>
              <w:noProof/>
              <w:sz w:val="18"/>
              <w:szCs w:val="18"/>
            </w:rPr>
            <w:t>19</w:t>
          </w:r>
          <w:r w:rsidR="008A5339" w:rsidRPr="006A4F12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A760E" w:rsidRDefault="00BA7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A760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A760E" w:rsidRDefault="00BA7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A760E" w:rsidRDefault="00BA760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A760E" w:rsidRDefault="00BA760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A760E" w:rsidRDefault="00BA76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1A" w:rsidRDefault="0081281A" w:rsidP="00364882">
      <w:r>
        <w:separator/>
      </w:r>
    </w:p>
  </w:footnote>
  <w:footnote w:type="continuationSeparator" w:id="1">
    <w:p w:rsidR="0081281A" w:rsidRDefault="0081281A" w:rsidP="0036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0E" w:rsidRDefault="00BA760E" w:rsidP="00364882">
    <w:pPr>
      <w:rPr>
        <w:lang w:val="sr-Latn-CS"/>
      </w:rPr>
    </w:pPr>
    <w:r>
      <w:rPr>
        <w:lang w:val="sr-Latn-CS"/>
      </w:rPr>
      <w:t xml:space="preserve">                                                      </w:t>
    </w:r>
  </w:p>
  <w:p w:rsidR="00BA760E" w:rsidRDefault="00BA760E" w:rsidP="00364882">
    <w:pPr>
      <w:rPr>
        <w:lang w:val="sr-Latn-CS"/>
      </w:rPr>
    </w:pPr>
    <w:r>
      <w:rPr>
        <w:lang w:val="sr-Latn-CS"/>
      </w:rPr>
      <w:t xml:space="preserve">                                         </w:t>
    </w:r>
  </w:p>
  <w:p w:rsidR="00BA760E" w:rsidRPr="0073117B" w:rsidRDefault="00BA760E" w:rsidP="00364882">
    <w:pPr>
      <w:rPr>
        <w:b/>
        <w:i/>
        <w:sz w:val="26"/>
        <w:szCs w:val="26"/>
        <w:lang w:val="sr-Cyrl-CS"/>
      </w:rPr>
    </w:pPr>
    <w:r w:rsidRPr="0073117B">
      <w:rPr>
        <w:b/>
        <w:sz w:val="26"/>
        <w:szCs w:val="26"/>
        <w:lang w:val="sr-Latn-CS"/>
      </w:rPr>
      <w:t xml:space="preserve">            </w:t>
    </w:r>
    <w:r>
      <w:rPr>
        <w:b/>
        <w:sz w:val="26"/>
        <w:szCs w:val="26"/>
        <w:lang w:val="sr-Latn-CS"/>
      </w:rPr>
      <w:t xml:space="preserve">              </w:t>
    </w:r>
    <w:r w:rsidRPr="0073117B">
      <w:rPr>
        <w:b/>
        <w:sz w:val="26"/>
        <w:szCs w:val="26"/>
        <w:lang w:val="sr-Latn-CS"/>
      </w:rPr>
      <w:t xml:space="preserve"> </w:t>
    </w:r>
    <w:r w:rsidRPr="0073117B">
      <w:rPr>
        <w:b/>
        <w:sz w:val="26"/>
        <w:szCs w:val="26"/>
        <w:u w:val="single"/>
        <w:lang w:val="sr-Latn-CS"/>
      </w:rPr>
      <w:t>Note uz bilans stanja</w:t>
    </w:r>
    <w:r w:rsidRPr="0073117B">
      <w:rPr>
        <w:b/>
        <w:sz w:val="26"/>
        <w:szCs w:val="26"/>
        <w:u w:val="single"/>
        <w:lang w:val="sr-Cyrl-CS"/>
      </w:rPr>
      <w:t xml:space="preserve"> 01.01.</w:t>
    </w:r>
    <w:r w:rsidRPr="0073117B">
      <w:rPr>
        <w:b/>
        <w:sz w:val="26"/>
        <w:szCs w:val="26"/>
        <w:u w:val="single"/>
        <w:lang w:val="sr-Latn-CS"/>
      </w:rPr>
      <w:t>2015.</w:t>
    </w:r>
    <w:r w:rsidRPr="0073117B">
      <w:rPr>
        <w:b/>
        <w:sz w:val="26"/>
        <w:szCs w:val="26"/>
        <w:u w:val="single"/>
        <w:lang w:val="sr-Cyrl-CS"/>
      </w:rPr>
      <w:t>-31.12.2015</w:t>
    </w:r>
    <w:r w:rsidRPr="0073117B">
      <w:rPr>
        <w:b/>
        <w:sz w:val="26"/>
        <w:szCs w:val="26"/>
        <w:u w:val="single"/>
        <w:lang w:val="sr-Latn-CS"/>
      </w:rPr>
      <w:t>g</w:t>
    </w:r>
    <w:r w:rsidRPr="0073117B">
      <w:rPr>
        <w:b/>
        <w:sz w:val="26"/>
        <w:szCs w:val="26"/>
        <w:lang w:val="sr-Latn-CS"/>
      </w:rPr>
      <w:t>.</w:t>
    </w:r>
  </w:p>
  <w:p w:rsidR="00BA760E" w:rsidRPr="00C150F7" w:rsidRDefault="00BA760E" w:rsidP="00364882">
    <w:pPr>
      <w:rPr>
        <w:sz w:val="26"/>
        <w:szCs w:val="2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5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3551D"/>
    <w:rsid w:val="00001812"/>
    <w:rsid w:val="00002A30"/>
    <w:rsid w:val="00003BBD"/>
    <w:rsid w:val="000178A9"/>
    <w:rsid w:val="00022D84"/>
    <w:rsid w:val="000408C0"/>
    <w:rsid w:val="00045008"/>
    <w:rsid w:val="00050211"/>
    <w:rsid w:val="000503E6"/>
    <w:rsid w:val="00053CE0"/>
    <w:rsid w:val="0005460A"/>
    <w:rsid w:val="000716EA"/>
    <w:rsid w:val="00072683"/>
    <w:rsid w:val="000748E8"/>
    <w:rsid w:val="000937DC"/>
    <w:rsid w:val="000A0BD8"/>
    <w:rsid w:val="000A166A"/>
    <w:rsid w:val="000A3515"/>
    <w:rsid w:val="000A6328"/>
    <w:rsid w:val="000B1AD3"/>
    <w:rsid w:val="000C2AB8"/>
    <w:rsid w:val="000C2C8F"/>
    <w:rsid w:val="000C66DC"/>
    <w:rsid w:val="000D28AC"/>
    <w:rsid w:val="000D42AB"/>
    <w:rsid w:val="000F0196"/>
    <w:rsid w:val="000F01A0"/>
    <w:rsid w:val="000F5B3F"/>
    <w:rsid w:val="001038C7"/>
    <w:rsid w:val="001105EA"/>
    <w:rsid w:val="0011783C"/>
    <w:rsid w:val="00123967"/>
    <w:rsid w:val="0013767A"/>
    <w:rsid w:val="001623B9"/>
    <w:rsid w:val="001657DB"/>
    <w:rsid w:val="00167041"/>
    <w:rsid w:val="001674FC"/>
    <w:rsid w:val="00167E7A"/>
    <w:rsid w:val="001723A9"/>
    <w:rsid w:val="001866D6"/>
    <w:rsid w:val="001A0BFD"/>
    <w:rsid w:val="001A3DB2"/>
    <w:rsid w:val="001A5797"/>
    <w:rsid w:val="001A5872"/>
    <w:rsid w:val="001B4C8F"/>
    <w:rsid w:val="001B7987"/>
    <w:rsid w:val="001C4280"/>
    <w:rsid w:val="001D5514"/>
    <w:rsid w:val="001D71DB"/>
    <w:rsid w:val="001E612C"/>
    <w:rsid w:val="001F097B"/>
    <w:rsid w:val="001F3909"/>
    <w:rsid w:val="002021CD"/>
    <w:rsid w:val="00203546"/>
    <w:rsid w:val="00205E9F"/>
    <w:rsid w:val="00206CAE"/>
    <w:rsid w:val="00216DF0"/>
    <w:rsid w:val="00233585"/>
    <w:rsid w:val="002335DC"/>
    <w:rsid w:val="00237C5B"/>
    <w:rsid w:val="00244BC8"/>
    <w:rsid w:val="00250B7A"/>
    <w:rsid w:val="00254846"/>
    <w:rsid w:val="002753A7"/>
    <w:rsid w:val="00282EE4"/>
    <w:rsid w:val="0029302F"/>
    <w:rsid w:val="00293C00"/>
    <w:rsid w:val="00294626"/>
    <w:rsid w:val="002A6483"/>
    <w:rsid w:val="002B104A"/>
    <w:rsid w:val="002B2548"/>
    <w:rsid w:val="002C1426"/>
    <w:rsid w:val="002C45AC"/>
    <w:rsid w:val="002D0BFE"/>
    <w:rsid w:val="00303A43"/>
    <w:rsid w:val="00304F65"/>
    <w:rsid w:val="00310144"/>
    <w:rsid w:val="0031371F"/>
    <w:rsid w:val="00314FDC"/>
    <w:rsid w:val="00317B1B"/>
    <w:rsid w:val="0032003A"/>
    <w:rsid w:val="0032095B"/>
    <w:rsid w:val="00320DE9"/>
    <w:rsid w:val="003230AA"/>
    <w:rsid w:val="003263ED"/>
    <w:rsid w:val="0032648F"/>
    <w:rsid w:val="00332744"/>
    <w:rsid w:val="00351B82"/>
    <w:rsid w:val="00351ED8"/>
    <w:rsid w:val="00361421"/>
    <w:rsid w:val="00363372"/>
    <w:rsid w:val="00364882"/>
    <w:rsid w:val="00366B62"/>
    <w:rsid w:val="003719D4"/>
    <w:rsid w:val="00375969"/>
    <w:rsid w:val="003770F6"/>
    <w:rsid w:val="0038353F"/>
    <w:rsid w:val="00384D92"/>
    <w:rsid w:val="00394262"/>
    <w:rsid w:val="00395B11"/>
    <w:rsid w:val="003A2334"/>
    <w:rsid w:val="003B50F3"/>
    <w:rsid w:val="003C5396"/>
    <w:rsid w:val="003C6B43"/>
    <w:rsid w:val="003D1CDC"/>
    <w:rsid w:val="003D5621"/>
    <w:rsid w:val="003E3C0D"/>
    <w:rsid w:val="003E596B"/>
    <w:rsid w:val="003F1F13"/>
    <w:rsid w:val="003F6193"/>
    <w:rsid w:val="004001DF"/>
    <w:rsid w:val="004039F9"/>
    <w:rsid w:val="0041224F"/>
    <w:rsid w:val="00412412"/>
    <w:rsid w:val="00414BD1"/>
    <w:rsid w:val="00422C09"/>
    <w:rsid w:val="00427CCF"/>
    <w:rsid w:val="00436D38"/>
    <w:rsid w:val="0043704A"/>
    <w:rsid w:val="00437F00"/>
    <w:rsid w:val="00440D7C"/>
    <w:rsid w:val="00442853"/>
    <w:rsid w:val="00462815"/>
    <w:rsid w:val="00482226"/>
    <w:rsid w:val="004875B3"/>
    <w:rsid w:val="004A16EE"/>
    <w:rsid w:val="004A40EA"/>
    <w:rsid w:val="004B09A4"/>
    <w:rsid w:val="004B7588"/>
    <w:rsid w:val="004C6115"/>
    <w:rsid w:val="004D155C"/>
    <w:rsid w:val="004E0F9E"/>
    <w:rsid w:val="004F32D8"/>
    <w:rsid w:val="004F7570"/>
    <w:rsid w:val="005053CF"/>
    <w:rsid w:val="005071D9"/>
    <w:rsid w:val="0051009A"/>
    <w:rsid w:val="0051798E"/>
    <w:rsid w:val="00517CDE"/>
    <w:rsid w:val="00520199"/>
    <w:rsid w:val="00542893"/>
    <w:rsid w:val="00546980"/>
    <w:rsid w:val="005475D7"/>
    <w:rsid w:val="00553F9A"/>
    <w:rsid w:val="005665F2"/>
    <w:rsid w:val="00570654"/>
    <w:rsid w:val="00575BE3"/>
    <w:rsid w:val="0057767B"/>
    <w:rsid w:val="005808DC"/>
    <w:rsid w:val="00580A4B"/>
    <w:rsid w:val="00584828"/>
    <w:rsid w:val="005867BD"/>
    <w:rsid w:val="005A5FC2"/>
    <w:rsid w:val="005B131E"/>
    <w:rsid w:val="005B1332"/>
    <w:rsid w:val="005B731F"/>
    <w:rsid w:val="005C0CA5"/>
    <w:rsid w:val="005C5E2F"/>
    <w:rsid w:val="005D2B85"/>
    <w:rsid w:val="005E1C8F"/>
    <w:rsid w:val="005F525C"/>
    <w:rsid w:val="005F6FA6"/>
    <w:rsid w:val="005F7195"/>
    <w:rsid w:val="005F78E9"/>
    <w:rsid w:val="00611911"/>
    <w:rsid w:val="00613994"/>
    <w:rsid w:val="006215BD"/>
    <w:rsid w:val="00627695"/>
    <w:rsid w:val="00641F0B"/>
    <w:rsid w:val="00643C27"/>
    <w:rsid w:val="006468CD"/>
    <w:rsid w:val="00653817"/>
    <w:rsid w:val="00663A17"/>
    <w:rsid w:val="00674D54"/>
    <w:rsid w:val="006808B2"/>
    <w:rsid w:val="00696338"/>
    <w:rsid w:val="006A0CAB"/>
    <w:rsid w:val="006A2D8F"/>
    <w:rsid w:val="006A4F12"/>
    <w:rsid w:val="006B166A"/>
    <w:rsid w:val="006C6F67"/>
    <w:rsid w:val="006E2D27"/>
    <w:rsid w:val="007046E8"/>
    <w:rsid w:val="00706496"/>
    <w:rsid w:val="00717121"/>
    <w:rsid w:val="00730C9E"/>
    <w:rsid w:val="0073117B"/>
    <w:rsid w:val="007333D6"/>
    <w:rsid w:val="007431EC"/>
    <w:rsid w:val="007435BD"/>
    <w:rsid w:val="00744439"/>
    <w:rsid w:val="00744C9F"/>
    <w:rsid w:val="00747ABC"/>
    <w:rsid w:val="007539EB"/>
    <w:rsid w:val="00763A3B"/>
    <w:rsid w:val="00763B3C"/>
    <w:rsid w:val="007641D2"/>
    <w:rsid w:val="00771276"/>
    <w:rsid w:val="00781407"/>
    <w:rsid w:val="007840F4"/>
    <w:rsid w:val="007879C2"/>
    <w:rsid w:val="00787F46"/>
    <w:rsid w:val="0079051C"/>
    <w:rsid w:val="00794245"/>
    <w:rsid w:val="00794FEE"/>
    <w:rsid w:val="00797EB1"/>
    <w:rsid w:val="007A0D71"/>
    <w:rsid w:val="007A1FDD"/>
    <w:rsid w:val="007A2F82"/>
    <w:rsid w:val="007A3B0E"/>
    <w:rsid w:val="007D533F"/>
    <w:rsid w:val="007E37EC"/>
    <w:rsid w:val="007E5395"/>
    <w:rsid w:val="007E6C1C"/>
    <w:rsid w:val="007F313D"/>
    <w:rsid w:val="00810B91"/>
    <w:rsid w:val="0081281A"/>
    <w:rsid w:val="00813249"/>
    <w:rsid w:val="008232AF"/>
    <w:rsid w:val="00824795"/>
    <w:rsid w:val="00830D28"/>
    <w:rsid w:val="00846322"/>
    <w:rsid w:val="00850B05"/>
    <w:rsid w:val="00850C94"/>
    <w:rsid w:val="00855038"/>
    <w:rsid w:val="00863A39"/>
    <w:rsid w:val="00865A98"/>
    <w:rsid w:val="008746A5"/>
    <w:rsid w:val="00877ABA"/>
    <w:rsid w:val="00881AB2"/>
    <w:rsid w:val="00881C8C"/>
    <w:rsid w:val="00890EC4"/>
    <w:rsid w:val="0089495C"/>
    <w:rsid w:val="008A4FD2"/>
    <w:rsid w:val="008A5339"/>
    <w:rsid w:val="008A668C"/>
    <w:rsid w:val="008B17B6"/>
    <w:rsid w:val="008B2DA0"/>
    <w:rsid w:val="008D6D50"/>
    <w:rsid w:val="008E4D35"/>
    <w:rsid w:val="008F1380"/>
    <w:rsid w:val="008F1576"/>
    <w:rsid w:val="008F2EB7"/>
    <w:rsid w:val="008F35EA"/>
    <w:rsid w:val="008F59E7"/>
    <w:rsid w:val="00905805"/>
    <w:rsid w:val="00917A51"/>
    <w:rsid w:val="00926CE4"/>
    <w:rsid w:val="0093293A"/>
    <w:rsid w:val="0093638E"/>
    <w:rsid w:val="0095084C"/>
    <w:rsid w:val="009511A8"/>
    <w:rsid w:val="00952B5D"/>
    <w:rsid w:val="00962C53"/>
    <w:rsid w:val="009847DF"/>
    <w:rsid w:val="00990CE0"/>
    <w:rsid w:val="00995846"/>
    <w:rsid w:val="009A3413"/>
    <w:rsid w:val="009A7E96"/>
    <w:rsid w:val="009E344C"/>
    <w:rsid w:val="009E3D12"/>
    <w:rsid w:val="00A00730"/>
    <w:rsid w:val="00A03796"/>
    <w:rsid w:val="00A17ECA"/>
    <w:rsid w:val="00A22D8B"/>
    <w:rsid w:val="00A24361"/>
    <w:rsid w:val="00A322C7"/>
    <w:rsid w:val="00A4494B"/>
    <w:rsid w:val="00A455C6"/>
    <w:rsid w:val="00A57DD4"/>
    <w:rsid w:val="00A63F63"/>
    <w:rsid w:val="00A6715F"/>
    <w:rsid w:val="00A75C56"/>
    <w:rsid w:val="00A85B1A"/>
    <w:rsid w:val="00A93D32"/>
    <w:rsid w:val="00A96A1D"/>
    <w:rsid w:val="00A97B08"/>
    <w:rsid w:val="00AA0FA9"/>
    <w:rsid w:val="00AA32EB"/>
    <w:rsid w:val="00AA3B87"/>
    <w:rsid w:val="00AC063C"/>
    <w:rsid w:val="00AC1DDA"/>
    <w:rsid w:val="00AC2B97"/>
    <w:rsid w:val="00AC4BEA"/>
    <w:rsid w:val="00AC68ED"/>
    <w:rsid w:val="00AD60E3"/>
    <w:rsid w:val="00AE1B15"/>
    <w:rsid w:val="00AE6AC2"/>
    <w:rsid w:val="00B05692"/>
    <w:rsid w:val="00B07DA3"/>
    <w:rsid w:val="00B100EB"/>
    <w:rsid w:val="00B32084"/>
    <w:rsid w:val="00B502A6"/>
    <w:rsid w:val="00B556C5"/>
    <w:rsid w:val="00B6109D"/>
    <w:rsid w:val="00B62373"/>
    <w:rsid w:val="00B670BE"/>
    <w:rsid w:val="00B702BF"/>
    <w:rsid w:val="00B71D7C"/>
    <w:rsid w:val="00B74CB9"/>
    <w:rsid w:val="00B75035"/>
    <w:rsid w:val="00B75503"/>
    <w:rsid w:val="00B83AB1"/>
    <w:rsid w:val="00B86571"/>
    <w:rsid w:val="00B9222A"/>
    <w:rsid w:val="00B9255D"/>
    <w:rsid w:val="00B92EA9"/>
    <w:rsid w:val="00B92F32"/>
    <w:rsid w:val="00BA43C2"/>
    <w:rsid w:val="00BA5C43"/>
    <w:rsid w:val="00BA760E"/>
    <w:rsid w:val="00BB09E9"/>
    <w:rsid w:val="00BB7864"/>
    <w:rsid w:val="00BC73C1"/>
    <w:rsid w:val="00BD35EE"/>
    <w:rsid w:val="00BE7228"/>
    <w:rsid w:val="00C112BD"/>
    <w:rsid w:val="00C150F7"/>
    <w:rsid w:val="00C15985"/>
    <w:rsid w:val="00C254DC"/>
    <w:rsid w:val="00C25671"/>
    <w:rsid w:val="00C30F0A"/>
    <w:rsid w:val="00C31E3E"/>
    <w:rsid w:val="00C332F2"/>
    <w:rsid w:val="00C33BC0"/>
    <w:rsid w:val="00C4634A"/>
    <w:rsid w:val="00C51F99"/>
    <w:rsid w:val="00C52668"/>
    <w:rsid w:val="00C647E0"/>
    <w:rsid w:val="00C678B5"/>
    <w:rsid w:val="00C67EF6"/>
    <w:rsid w:val="00C7157E"/>
    <w:rsid w:val="00C80418"/>
    <w:rsid w:val="00C805E4"/>
    <w:rsid w:val="00C812EF"/>
    <w:rsid w:val="00C85EFD"/>
    <w:rsid w:val="00C86EE1"/>
    <w:rsid w:val="00C90ED8"/>
    <w:rsid w:val="00CB593B"/>
    <w:rsid w:val="00CC0552"/>
    <w:rsid w:val="00CC0B17"/>
    <w:rsid w:val="00CC6EC4"/>
    <w:rsid w:val="00CD4576"/>
    <w:rsid w:val="00CD795A"/>
    <w:rsid w:val="00CE50B3"/>
    <w:rsid w:val="00CE78D1"/>
    <w:rsid w:val="00CF2886"/>
    <w:rsid w:val="00CF2943"/>
    <w:rsid w:val="00D11B13"/>
    <w:rsid w:val="00D13821"/>
    <w:rsid w:val="00D17394"/>
    <w:rsid w:val="00D224A3"/>
    <w:rsid w:val="00D25EDB"/>
    <w:rsid w:val="00D26383"/>
    <w:rsid w:val="00D3551D"/>
    <w:rsid w:val="00D439D0"/>
    <w:rsid w:val="00D51384"/>
    <w:rsid w:val="00D51581"/>
    <w:rsid w:val="00D54A33"/>
    <w:rsid w:val="00D57829"/>
    <w:rsid w:val="00D60AC0"/>
    <w:rsid w:val="00D643B9"/>
    <w:rsid w:val="00D66054"/>
    <w:rsid w:val="00D678B1"/>
    <w:rsid w:val="00D679CD"/>
    <w:rsid w:val="00D8462D"/>
    <w:rsid w:val="00D9251A"/>
    <w:rsid w:val="00D938CF"/>
    <w:rsid w:val="00DA3FB8"/>
    <w:rsid w:val="00DA6D1B"/>
    <w:rsid w:val="00DA7DE9"/>
    <w:rsid w:val="00DB3525"/>
    <w:rsid w:val="00DC3D85"/>
    <w:rsid w:val="00DD45DB"/>
    <w:rsid w:val="00DE35D1"/>
    <w:rsid w:val="00DE5DEE"/>
    <w:rsid w:val="00DF0A0C"/>
    <w:rsid w:val="00DF0CA6"/>
    <w:rsid w:val="00DF545A"/>
    <w:rsid w:val="00DF6560"/>
    <w:rsid w:val="00DF7287"/>
    <w:rsid w:val="00E00270"/>
    <w:rsid w:val="00E065B5"/>
    <w:rsid w:val="00E0764C"/>
    <w:rsid w:val="00E171E1"/>
    <w:rsid w:val="00E278F4"/>
    <w:rsid w:val="00E44E3E"/>
    <w:rsid w:val="00E4786B"/>
    <w:rsid w:val="00E60C5D"/>
    <w:rsid w:val="00E67B7A"/>
    <w:rsid w:val="00E71838"/>
    <w:rsid w:val="00E72091"/>
    <w:rsid w:val="00E82FEC"/>
    <w:rsid w:val="00E87AC2"/>
    <w:rsid w:val="00E90D43"/>
    <w:rsid w:val="00E91402"/>
    <w:rsid w:val="00EB0559"/>
    <w:rsid w:val="00EC06C6"/>
    <w:rsid w:val="00EC0F6A"/>
    <w:rsid w:val="00EC14C6"/>
    <w:rsid w:val="00ED0A52"/>
    <w:rsid w:val="00ED1651"/>
    <w:rsid w:val="00EE2B63"/>
    <w:rsid w:val="00EF4201"/>
    <w:rsid w:val="00EF4D6F"/>
    <w:rsid w:val="00F004EB"/>
    <w:rsid w:val="00F02299"/>
    <w:rsid w:val="00F12503"/>
    <w:rsid w:val="00F13715"/>
    <w:rsid w:val="00F252BA"/>
    <w:rsid w:val="00F26BCD"/>
    <w:rsid w:val="00F27BD5"/>
    <w:rsid w:val="00F369E9"/>
    <w:rsid w:val="00F60CED"/>
    <w:rsid w:val="00F63021"/>
    <w:rsid w:val="00F7027D"/>
    <w:rsid w:val="00F7043D"/>
    <w:rsid w:val="00F75E02"/>
    <w:rsid w:val="00F7724A"/>
    <w:rsid w:val="00F84AF8"/>
    <w:rsid w:val="00F8595C"/>
    <w:rsid w:val="00F93087"/>
    <w:rsid w:val="00F93B41"/>
    <w:rsid w:val="00F94A13"/>
    <w:rsid w:val="00FA3860"/>
    <w:rsid w:val="00FA458D"/>
    <w:rsid w:val="00FB0E5B"/>
    <w:rsid w:val="00FB5204"/>
    <w:rsid w:val="00FC2BE2"/>
    <w:rsid w:val="00FC4F35"/>
    <w:rsid w:val="00FE4AD6"/>
    <w:rsid w:val="00FE5064"/>
    <w:rsid w:val="00FE626D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64882"/>
    <w:pPr>
      <w:keepNext/>
      <w:jc w:val="both"/>
      <w:outlineLvl w:val="7"/>
    </w:pPr>
    <w:rPr>
      <w:rFonts w:ascii="Arial" w:hAnsi="Arial" w:cs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64882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882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882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B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E67B7A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E67B7A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C8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C8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DB35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CE27-41B0-4484-9509-BFB0A523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23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407</cp:revision>
  <cp:lastPrinted>2016-02-24T10:38:00Z</cp:lastPrinted>
  <dcterms:created xsi:type="dcterms:W3CDTF">2016-02-10T06:50:00Z</dcterms:created>
  <dcterms:modified xsi:type="dcterms:W3CDTF">2016-03-03T13:00:00Z</dcterms:modified>
</cp:coreProperties>
</file>